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0BB" w:rsidRDefault="006D47F1"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E740BB" w:rsidRDefault="006D47F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浙江省</w:t>
      </w:r>
      <w:proofErr w:type="gramStart"/>
      <w:r>
        <w:rPr>
          <w:rFonts w:ascii="黑体" w:eastAsia="黑体" w:hAnsi="黑体" w:hint="eastAsia"/>
          <w:sz w:val="36"/>
          <w:szCs w:val="36"/>
        </w:rPr>
        <w:t>浙商资产</w:t>
      </w:r>
      <w:proofErr w:type="gramEnd"/>
      <w:r>
        <w:rPr>
          <w:rFonts w:ascii="黑体" w:eastAsia="黑体" w:hAnsi="黑体" w:hint="eastAsia"/>
          <w:sz w:val="36"/>
          <w:szCs w:val="36"/>
        </w:rPr>
        <w:t>管理有限公司2022年度</w:t>
      </w:r>
    </w:p>
    <w:p w:rsidR="00E740BB" w:rsidRDefault="006D47F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业务类评估中介机构备选库名单</w:t>
      </w:r>
    </w:p>
    <w:p w:rsidR="00E740BB" w:rsidRDefault="00E740BB">
      <w:pPr>
        <w:jc w:val="center"/>
        <w:rPr>
          <w:rFonts w:ascii="黑体" w:eastAsia="黑体" w:hAnsi="黑体"/>
          <w:sz w:val="36"/>
          <w:szCs w:val="36"/>
        </w:rPr>
      </w:pPr>
    </w:p>
    <w:p w:rsidR="00A51B4D" w:rsidRPr="00A51B4D" w:rsidRDefault="00A51B4D" w:rsidP="00A51B4D">
      <w:pPr>
        <w:jc w:val="left"/>
        <w:rPr>
          <w:rFonts w:ascii="黑体" w:eastAsia="黑体" w:hAnsi="黑体"/>
          <w:sz w:val="30"/>
          <w:szCs w:val="30"/>
        </w:rPr>
      </w:pPr>
      <w:r w:rsidRPr="00A51B4D">
        <w:rPr>
          <w:rFonts w:ascii="黑体" w:eastAsia="黑体" w:hAnsi="黑体" w:hint="eastAsia"/>
          <w:sz w:val="30"/>
          <w:szCs w:val="30"/>
        </w:rPr>
        <w:t>一、2</w:t>
      </w:r>
      <w:r w:rsidRPr="00A51B4D">
        <w:rPr>
          <w:rFonts w:ascii="黑体" w:eastAsia="黑体" w:hAnsi="黑体"/>
          <w:sz w:val="30"/>
          <w:szCs w:val="30"/>
        </w:rPr>
        <w:t>022</w:t>
      </w:r>
      <w:r w:rsidRPr="00A51B4D">
        <w:rPr>
          <w:rFonts w:ascii="黑体" w:eastAsia="黑体" w:hAnsi="黑体" w:hint="eastAsia"/>
          <w:sz w:val="30"/>
          <w:szCs w:val="30"/>
        </w:rPr>
        <w:t>年度业务类房地产估价中介机构库名单</w:t>
      </w:r>
    </w:p>
    <w:tbl>
      <w:tblPr>
        <w:tblW w:w="9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9"/>
        <w:gridCol w:w="5256"/>
        <w:gridCol w:w="2940"/>
      </w:tblGrid>
      <w:tr w:rsidR="00E740BB">
        <w:trPr>
          <w:trHeight w:val="28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E740BB" w:rsidRDefault="006D4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E740BB" w:rsidRDefault="006D4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机构名称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E740BB" w:rsidRDefault="00A51B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A51B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机构类别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深圳市同致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诚土地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房地产估价顾问有限公司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衡中测土地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房地产资产评估咨询有限公司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广东南粤房地产土地资产评估与规划测绘有限公司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誉资产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评估房地产土地估价顾问有限公司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深圳市世纪中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房地产资产评估咨询有限公司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浙江恒基房地产土地资产评估有限公司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浙江省值房地产土地资产评估有限公司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浙江至诚运通房地产土地资产评估有限公司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江苏中正同仁土地房地产资产评估有限公司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四川银通房地产评估有限责任公司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浙江坤元房地产土地估价有限公司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杭州建银房地产土地资产评估有限公司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上海加策房地产估价有限公司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 w:rsidTr="0026783E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杭州正和房地产土地资产评估有限公司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A51B4D" w:rsidRDefault="00A51B4D" w:rsidP="00A51B4D"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房地产估价机构（本次新增）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北京京都房地产土地评估有限公司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沃克森（北京）国际房地产土地评估有限公司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房地产资产评估有限公司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世联土地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德梁行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土地房地产评估有限公司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深圳市国策房地产土地估价有限公司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浙江中汇房地产评估有限公司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杭州万昌房地产评估有限公司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浙江众诚房地产评估事务所有限公司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北京仁达房地产评估有限公司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浙江国信房地产土地估价咨询有限公司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杭州永正房地产土地评估有限公司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28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杭州中意房地产评估咨询有限公司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浙江和诚房地产估价有限公司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八达国瑞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房地产土地估价有限公司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浙江博南土地房地产评估规划有限公司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  <w:tr w:rsidR="00A51B4D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杭州正大房地产评估有限公司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A51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F58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房地产估价机构</w:t>
            </w:r>
          </w:p>
        </w:tc>
      </w:tr>
    </w:tbl>
    <w:p w:rsidR="00E740BB" w:rsidRDefault="00E740BB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Pr="00A51B4D" w:rsidRDefault="00A51B4D">
      <w:pPr>
        <w:spacing w:line="540" w:lineRule="exact"/>
        <w:rPr>
          <w:sz w:val="28"/>
          <w:szCs w:val="28"/>
        </w:rPr>
      </w:pPr>
    </w:p>
    <w:p w:rsidR="00A51B4D" w:rsidRP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Pr="00A51B4D" w:rsidRDefault="00A51B4D" w:rsidP="00A51B4D">
      <w:pPr>
        <w:jc w:val="left"/>
        <w:rPr>
          <w:rFonts w:ascii="黑体" w:eastAsia="黑体" w:hAnsi="黑体"/>
          <w:sz w:val="30"/>
          <w:szCs w:val="30"/>
        </w:rPr>
      </w:pPr>
      <w:r w:rsidRPr="00A51B4D">
        <w:rPr>
          <w:rFonts w:ascii="黑体" w:eastAsia="黑体" w:hAnsi="黑体" w:hint="eastAsia"/>
          <w:sz w:val="30"/>
          <w:szCs w:val="30"/>
        </w:rPr>
        <w:lastRenderedPageBreak/>
        <w:t>二、2022年度业务类资产评估中介机构备选库名单</w:t>
      </w:r>
    </w:p>
    <w:tbl>
      <w:tblPr>
        <w:tblW w:w="8828" w:type="dxa"/>
        <w:tblInd w:w="93" w:type="dxa"/>
        <w:tblLook w:val="04A0" w:firstRow="1" w:lastRow="0" w:firstColumn="1" w:lastColumn="0" w:noHBand="0" w:noVBand="1"/>
      </w:tblPr>
      <w:tblGrid>
        <w:gridCol w:w="870"/>
        <w:gridCol w:w="5548"/>
        <w:gridCol w:w="2410"/>
      </w:tblGrid>
      <w:tr w:rsidR="00A51B4D" w:rsidTr="001A5303">
        <w:trPr>
          <w:trHeight w:val="30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51B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51B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机构名称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51B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机构类别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铭国际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资产评估（北京）有限责任公司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浙江中衡房地产土地资产评估咨询有限公司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鸣联合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资产评估（北京）有限公司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中联国际评估咨询有限公司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泰州永诚房地产土地资产评估有限公司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建银（浙江）房地产土地资产评估有限公司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立盛资产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房地产评估有限公司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中和资产评估有限公司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北京中天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评估有限责任公司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大连海达资产评估有限公司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天津同章房地产土地资产评估有限公司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北京中同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万邦资产评估有限公司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国众联资产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评估土地房地产估价有限公司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沃克森（北京）国际资产评估有限公司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天源资产评估有限公司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深圳市鹏信资产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评估土地房地产估价有限公司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世联资产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房地产土地评估有限公司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广东中企华正诚资产房地产土地评估造价咨询有限公司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联耀信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山东中新资产评估有限公司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中水致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远资产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浙江天平资产评估有限公司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衡中测土地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房地产资产评估咨询有限公司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评估集团湖南华信有限公司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银德中远资产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评估房地产土地估价有限公司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益资产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评估土地房地产评估有限公司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浙江中企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成都九鼎房地产交易评估有限公司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深圳市国策资产评估有限公司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江苏天元房地产评估造价集团有限公司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建友资产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评估土地房地产估价有限责任公司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银信（宁波）资产评估有限公司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中威正信（北京）资产评估有限公司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35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成都泰宇房地产资产评估有限责任公司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浙江方舟资产评估有限公司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温州东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四川天平资产评估有限公司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浙江普阳资产评估有限公司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杭州立信资产评估有限公司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金华中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勤资产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评估事务所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评估有限责任公司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温州华明资产评估有限公司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福建华成房地产土地资产评估有限公司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杭州禄诚资产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浙江荣成资产评估有限公司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浙江嘉华房地产土地资产评估咨询有限公司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瑞扬中瑞房地产土地资产评估有限公司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浙江瓯江资产评估有限公司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衡资产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评估（杭州）有限公司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浙江华信资产评估有限公司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厦门信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惠资产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评估土地房地产估价有限公司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戴德梁行资产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浙江正大资产评估有限公司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  <w:tr w:rsidR="00A51B4D" w:rsidTr="001A530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江苏华信资产评估有限公司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Pr="00E425EB" w:rsidRDefault="00A51B4D" w:rsidP="001A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425E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资产评估机构</w:t>
            </w:r>
          </w:p>
        </w:tc>
      </w:tr>
    </w:tbl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Default="00A51B4D">
      <w:pPr>
        <w:spacing w:line="540" w:lineRule="exact"/>
        <w:rPr>
          <w:sz w:val="28"/>
          <w:szCs w:val="28"/>
        </w:rPr>
      </w:pPr>
    </w:p>
    <w:p w:rsidR="00A51B4D" w:rsidRPr="00A51B4D" w:rsidRDefault="00A51B4D" w:rsidP="00A51B4D">
      <w:pPr>
        <w:jc w:val="left"/>
        <w:rPr>
          <w:rFonts w:ascii="黑体" w:eastAsia="黑体" w:hAnsi="黑体"/>
          <w:sz w:val="30"/>
          <w:szCs w:val="30"/>
        </w:rPr>
      </w:pPr>
      <w:r w:rsidRPr="00A51B4D">
        <w:rPr>
          <w:rFonts w:ascii="黑体" w:eastAsia="黑体" w:hAnsi="黑体" w:hint="eastAsia"/>
          <w:sz w:val="30"/>
          <w:szCs w:val="30"/>
        </w:rPr>
        <w:lastRenderedPageBreak/>
        <w:t>三、</w:t>
      </w:r>
      <w:r>
        <w:rPr>
          <w:rFonts w:ascii="黑体" w:eastAsia="黑体" w:hAnsi="黑体" w:hint="eastAsia"/>
          <w:sz w:val="30"/>
          <w:szCs w:val="30"/>
        </w:rPr>
        <w:t>2</w:t>
      </w:r>
      <w:r>
        <w:rPr>
          <w:rFonts w:ascii="黑体" w:eastAsia="黑体" w:hAnsi="黑体"/>
          <w:sz w:val="30"/>
          <w:szCs w:val="30"/>
        </w:rPr>
        <w:t>022</w:t>
      </w:r>
      <w:r>
        <w:rPr>
          <w:rFonts w:ascii="黑体" w:eastAsia="黑体" w:hAnsi="黑体" w:hint="eastAsia"/>
          <w:sz w:val="30"/>
          <w:szCs w:val="30"/>
        </w:rPr>
        <w:t>年度业务类</w:t>
      </w:r>
      <w:r w:rsidRPr="00A51B4D">
        <w:rPr>
          <w:rFonts w:ascii="黑体" w:eastAsia="黑体" w:hAnsi="黑体" w:hint="eastAsia"/>
          <w:sz w:val="30"/>
          <w:szCs w:val="30"/>
        </w:rPr>
        <w:t>矿业权评估中介机构备选库名单</w:t>
      </w:r>
    </w:p>
    <w:tbl>
      <w:tblPr>
        <w:tblW w:w="81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9"/>
        <w:gridCol w:w="4235"/>
        <w:gridCol w:w="2835"/>
      </w:tblGrid>
      <w:tr w:rsidR="00A51B4D" w:rsidTr="001A5303">
        <w:trPr>
          <w:trHeight w:val="28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机构名称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机构类别</w:t>
            </w:r>
          </w:p>
        </w:tc>
      </w:tr>
      <w:tr w:rsidR="00A51B4D" w:rsidTr="001A5303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陕西秦地矿业</w:t>
            </w:r>
            <w:proofErr w:type="gramStart"/>
            <w:r>
              <w:rPr>
                <w:rFonts w:hint="eastAsia"/>
                <w:color w:val="000000"/>
                <w:szCs w:val="21"/>
              </w:rPr>
              <w:t>权资产</w:t>
            </w:r>
            <w:proofErr w:type="gramEnd"/>
            <w:r>
              <w:rPr>
                <w:rFonts w:hint="eastAsia"/>
                <w:color w:val="000000"/>
                <w:szCs w:val="21"/>
              </w:rPr>
              <w:t>评估有限公司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矿业权评估机构</w:t>
            </w:r>
          </w:p>
        </w:tc>
      </w:tr>
      <w:tr w:rsidR="00A51B4D" w:rsidTr="001A5303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太原市维源矿业</w:t>
            </w:r>
            <w:proofErr w:type="gramEnd"/>
            <w:r>
              <w:rPr>
                <w:rFonts w:hint="eastAsia"/>
                <w:color w:val="000000"/>
                <w:szCs w:val="21"/>
              </w:rPr>
              <w:t>权评估有限公司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矿业权评估机构</w:t>
            </w:r>
          </w:p>
        </w:tc>
      </w:tr>
      <w:tr w:rsidR="00A51B4D" w:rsidTr="001A5303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江苏五星资产评估有限责任公司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矿业权评估机构</w:t>
            </w:r>
          </w:p>
        </w:tc>
      </w:tr>
      <w:tr w:rsidR="00A51B4D" w:rsidTr="001A5303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山东新广信矿产资源评估有限公司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矿业权评估机构</w:t>
            </w:r>
          </w:p>
        </w:tc>
      </w:tr>
      <w:tr w:rsidR="00A51B4D" w:rsidTr="001A5303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浙江之源资产评估有限责任公司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矿业权评估机构</w:t>
            </w:r>
          </w:p>
        </w:tc>
      </w:tr>
      <w:tr w:rsidR="00A51B4D" w:rsidTr="001A5303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云南陆缘衡矿业权评估有限公司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矿业权评估机构</w:t>
            </w:r>
          </w:p>
        </w:tc>
      </w:tr>
      <w:tr w:rsidR="00A51B4D" w:rsidTr="001A5303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四川立诚矿业评评估咨询有限公司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矿业权评估机构</w:t>
            </w:r>
          </w:p>
        </w:tc>
      </w:tr>
      <w:tr w:rsidR="00A51B4D" w:rsidTr="001A5303">
        <w:trPr>
          <w:trHeight w:val="33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北京中企</w:t>
            </w:r>
            <w:proofErr w:type="gramStart"/>
            <w:r>
              <w:rPr>
                <w:rFonts w:hint="eastAsia"/>
                <w:color w:val="000000"/>
                <w:szCs w:val="21"/>
              </w:rPr>
              <w:t>华资产</w:t>
            </w:r>
            <w:proofErr w:type="gramEnd"/>
            <w:r>
              <w:rPr>
                <w:rFonts w:hint="eastAsia"/>
                <w:color w:val="000000"/>
                <w:szCs w:val="21"/>
              </w:rPr>
              <w:t>评估有限责任公司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51B4D" w:rsidRDefault="00A51B4D" w:rsidP="001A5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矿业权评估机构</w:t>
            </w:r>
          </w:p>
        </w:tc>
      </w:tr>
    </w:tbl>
    <w:p w:rsidR="00A51B4D" w:rsidRDefault="00A51B4D">
      <w:pPr>
        <w:spacing w:line="540" w:lineRule="exact"/>
        <w:rPr>
          <w:sz w:val="28"/>
          <w:szCs w:val="28"/>
        </w:rPr>
      </w:pPr>
    </w:p>
    <w:sectPr w:rsidR="00A51B4D">
      <w:pgSz w:w="11906" w:h="16838"/>
      <w:pgMar w:top="1928" w:right="1531" w:bottom="1701" w:left="1531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zNmQxYzgxMGVmZTY0Nzc0NGMwNzgwOGMyMzIzYWQifQ=="/>
  </w:docVars>
  <w:rsids>
    <w:rsidRoot w:val="00172A27"/>
    <w:rsid w:val="000016D3"/>
    <w:rsid w:val="00001BBA"/>
    <w:rsid w:val="000060E6"/>
    <w:rsid w:val="00010925"/>
    <w:rsid w:val="000136EF"/>
    <w:rsid w:val="00016FCD"/>
    <w:rsid w:val="00017B6F"/>
    <w:rsid w:val="00024234"/>
    <w:rsid w:val="00026207"/>
    <w:rsid w:val="00032792"/>
    <w:rsid w:val="00035654"/>
    <w:rsid w:val="00045815"/>
    <w:rsid w:val="00052348"/>
    <w:rsid w:val="0005536C"/>
    <w:rsid w:val="00056D55"/>
    <w:rsid w:val="00062724"/>
    <w:rsid w:val="00070441"/>
    <w:rsid w:val="0007093F"/>
    <w:rsid w:val="000727A5"/>
    <w:rsid w:val="00076C5B"/>
    <w:rsid w:val="00082AEF"/>
    <w:rsid w:val="0008511A"/>
    <w:rsid w:val="00085B48"/>
    <w:rsid w:val="00086D4A"/>
    <w:rsid w:val="000876B0"/>
    <w:rsid w:val="00087988"/>
    <w:rsid w:val="000A1446"/>
    <w:rsid w:val="000A3B3B"/>
    <w:rsid w:val="000A5368"/>
    <w:rsid w:val="000A5DCD"/>
    <w:rsid w:val="000A73EC"/>
    <w:rsid w:val="000B0505"/>
    <w:rsid w:val="000B1964"/>
    <w:rsid w:val="000B1B0A"/>
    <w:rsid w:val="000B3993"/>
    <w:rsid w:val="000B4A66"/>
    <w:rsid w:val="000B65F3"/>
    <w:rsid w:val="000C2E7F"/>
    <w:rsid w:val="000D25C5"/>
    <w:rsid w:val="000E4733"/>
    <w:rsid w:val="000E518D"/>
    <w:rsid w:val="000E5578"/>
    <w:rsid w:val="000F10C0"/>
    <w:rsid w:val="000F1603"/>
    <w:rsid w:val="000F272E"/>
    <w:rsid w:val="000F7424"/>
    <w:rsid w:val="00101042"/>
    <w:rsid w:val="00111E3D"/>
    <w:rsid w:val="00115EE9"/>
    <w:rsid w:val="001202FC"/>
    <w:rsid w:val="00120A2F"/>
    <w:rsid w:val="00121BDB"/>
    <w:rsid w:val="00122B30"/>
    <w:rsid w:val="00124954"/>
    <w:rsid w:val="00126634"/>
    <w:rsid w:val="0013027A"/>
    <w:rsid w:val="0013123F"/>
    <w:rsid w:val="00137A35"/>
    <w:rsid w:val="001412E6"/>
    <w:rsid w:val="00142049"/>
    <w:rsid w:val="001464CB"/>
    <w:rsid w:val="00156582"/>
    <w:rsid w:val="00161B15"/>
    <w:rsid w:val="00165E2C"/>
    <w:rsid w:val="0017079B"/>
    <w:rsid w:val="00172A27"/>
    <w:rsid w:val="001736DF"/>
    <w:rsid w:val="001740DB"/>
    <w:rsid w:val="00174BB8"/>
    <w:rsid w:val="00177E84"/>
    <w:rsid w:val="00186AA2"/>
    <w:rsid w:val="0019242C"/>
    <w:rsid w:val="001A02F7"/>
    <w:rsid w:val="001A2649"/>
    <w:rsid w:val="001A42FE"/>
    <w:rsid w:val="001A5BB5"/>
    <w:rsid w:val="001B1AD3"/>
    <w:rsid w:val="001B55F3"/>
    <w:rsid w:val="001C03BE"/>
    <w:rsid w:val="001C26C6"/>
    <w:rsid w:val="001C4751"/>
    <w:rsid w:val="001D081F"/>
    <w:rsid w:val="001D6C3C"/>
    <w:rsid w:val="001E72AD"/>
    <w:rsid w:val="001F21D7"/>
    <w:rsid w:val="001F3E7F"/>
    <w:rsid w:val="001F41B3"/>
    <w:rsid w:val="001F48BD"/>
    <w:rsid w:val="001F49AE"/>
    <w:rsid w:val="00202121"/>
    <w:rsid w:val="00203F12"/>
    <w:rsid w:val="00205031"/>
    <w:rsid w:val="00205049"/>
    <w:rsid w:val="0020691A"/>
    <w:rsid w:val="0021174C"/>
    <w:rsid w:val="00224483"/>
    <w:rsid w:val="0022709D"/>
    <w:rsid w:val="00227FB7"/>
    <w:rsid w:val="002339CF"/>
    <w:rsid w:val="00233A68"/>
    <w:rsid w:val="00233C19"/>
    <w:rsid w:val="00233D66"/>
    <w:rsid w:val="002357DD"/>
    <w:rsid w:val="00237EAE"/>
    <w:rsid w:val="00241F55"/>
    <w:rsid w:val="002427A3"/>
    <w:rsid w:val="00250A45"/>
    <w:rsid w:val="002540DC"/>
    <w:rsid w:val="00254E5D"/>
    <w:rsid w:val="002573AC"/>
    <w:rsid w:val="0026386D"/>
    <w:rsid w:val="00263F55"/>
    <w:rsid w:val="00266197"/>
    <w:rsid w:val="00274C65"/>
    <w:rsid w:val="00275B9A"/>
    <w:rsid w:val="00281401"/>
    <w:rsid w:val="00284DF6"/>
    <w:rsid w:val="00291BBE"/>
    <w:rsid w:val="002932D3"/>
    <w:rsid w:val="002A65FE"/>
    <w:rsid w:val="002A74DC"/>
    <w:rsid w:val="002B5A17"/>
    <w:rsid w:val="002C0563"/>
    <w:rsid w:val="002E3FF7"/>
    <w:rsid w:val="002E4BBC"/>
    <w:rsid w:val="002E501D"/>
    <w:rsid w:val="002E58F8"/>
    <w:rsid w:val="002E6647"/>
    <w:rsid w:val="002F5AA6"/>
    <w:rsid w:val="002F7E90"/>
    <w:rsid w:val="00304F65"/>
    <w:rsid w:val="003059C2"/>
    <w:rsid w:val="003062AA"/>
    <w:rsid w:val="003071E5"/>
    <w:rsid w:val="00314E19"/>
    <w:rsid w:val="003159E0"/>
    <w:rsid w:val="00320ED8"/>
    <w:rsid w:val="00321EF7"/>
    <w:rsid w:val="0032202A"/>
    <w:rsid w:val="00327FE6"/>
    <w:rsid w:val="00332D84"/>
    <w:rsid w:val="0033506F"/>
    <w:rsid w:val="003362D2"/>
    <w:rsid w:val="00344562"/>
    <w:rsid w:val="003451F9"/>
    <w:rsid w:val="003529BC"/>
    <w:rsid w:val="0035506C"/>
    <w:rsid w:val="00360701"/>
    <w:rsid w:val="00360BF0"/>
    <w:rsid w:val="003613FB"/>
    <w:rsid w:val="00362A02"/>
    <w:rsid w:val="0036320F"/>
    <w:rsid w:val="00364673"/>
    <w:rsid w:val="00364E0B"/>
    <w:rsid w:val="003670F1"/>
    <w:rsid w:val="003746B5"/>
    <w:rsid w:val="00381DC9"/>
    <w:rsid w:val="003A1BD8"/>
    <w:rsid w:val="003B1037"/>
    <w:rsid w:val="003C0D14"/>
    <w:rsid w:val="003C0F4F"/>
    <w:rsid w:val="003C3DD4"/>
    <w:rsid w:val="003C6574"/>
    <w:rsid w:val="003C6922"/>
    <w:rsid w:val="003D00CE"/>
    <w:rsid w:val="003D30A4"/>
    <w:rsid w:val="003D395F"/>
    <w:rsid w:val="003E653E"/>
    <w:rsid w:val="003E7845"/>
    <w:rsid w:val="003E7BB3"/>
    <w:rsid w:val="003F075F"/>
    <w:rsid w:val="003F0B05"/>
    <w:rsid w:val="003F1600"/>
    <w:rsid w:val="003F2D5C"/>
    <w:rsid w:val="003F53CF"/>
    <w:rsid w:val="003F7530"/>
    <w:rsid w:val="003F7FAF"/>
    <w:rsid w:val="0040341E"/>
    <w:rsid w:val="0040378F"/>
    <w:rsid w:val="00411159"/>
    <w:rsid w:val="004140BD"/>
    <w:rsid w:val="004156FE"/>
    <w:rsid w:val="0041695C"/>
    <w:rsid w:val="00417DD4"/>
    <w:rsid w:val="00420408"/>
    <w:rsid w:val="004253B1"/>
    <w:rsid w:val="00433449"/>
    <w:rsid w:val="00433CF1"/>
    <w:rsid w:val="00436032"/>
    <w:rsid w:val="004418ED"/>
    <w:rsid w:val="0045140A"/>
    <w:rsid w:val="00457C87"/>
    <w:rsid w:val="00457E57"/>
    <w:rsid w:val="0046099D"/>
    <w:rsid w:val="004625FA"/>
    <w:rsid w:val="004647FF"/>
    <w:rsid w:val="00467CA1"/>
    <w:rsid w:val="00482AE8"/>
    <w:rsid w:val="004865D8"/>
    <w:rsid w:val="0049179F"/>
    <w:rsid w:val="004926E0"/>
    <w:rsid w:val="00492819"/>
    <w:rsid w:val="00492B44"/>
    <w:rsid w:val="00496871"/>
    <w:rsid w:val="004968AE"/>
    <w:rsid w:val="004A53CD"/>
    <w:rsid w:val="004A7AAB"/>
    <w:rsid w:val="004B0852"/>
    <w:rsid w:val="004B1188"/>
    <w:rsid w:val="004B3D50"/>
    <w:rsid w:val="004B7776"/>
    <w:rsid w:val="004C16BC"/>
    <w:rsid w:val="004C53C1"/>
    <w:rsid w:val="004D0DA3"/>
    <w:rsid w:val="004D15D7"/>
    <w:rsid w:val="004D357B"/>
    <w:rsid w:val="004D3EB5"/>
    <w:rsid w:val="004D431A"/>
    <w:rsid w:val="004D45DD"/>
    <w:rsid w:val="004D5080"/>
    <w:rsid w:val="004D5BDF"/>
    <w:rsid w:val="004E1586"/>
    <w:rsid w:val="004E41B8"/>
    <w:rsid w:val="004E59C5"/>
    <w:rsid w:val="004E7048"/>
    <w:rsid w:val="004E7112"/>
    <w:rsid w:val="004F6D9B"/>
    <w:rsid w:val="004F7153"/>
    <w:rsid w:val="004F7858"/>
    <w:rsid w:val="0050389D"/>
    <w:rsid w:val="00503E5E"/>
    <w:rsid w:val="00504A2C"/>
    <w:rsid w:val="00505D81"/>
    <w:rsid w:val="00506D1C"/>
    <w:rsid w:val="00507EBC"/>
    <w:rsid w:val="00510022"/>
    <w:rsid w:val="0051081F"/>
    <w:rsid w:val="00513D92"/>
    <w:rsid w:val="005224BA"/>
    <w:rsid w:val="00524302"/>
    <w:rsid w:val="00530B7F"/>
    <w:rsid w:val="00533F21"/>
    <w:rsid w:val="0053625D"/>
    <w:rsid w:val="005426E5"/>
    <w:rsid w:val="00545B08"/>
    <w:rsid w:val="0055422C"/>
    <w:rsid w:val="005565E4"/>
    <w:rsid w:val="00557A6C"/>
    <w:rsid w:val="00557C95"/>
    <w:rsid w:val="005600D4"/>
    <w:rsid w:val="00561FAA"/>
    <w:rsid w:val="00564BF6"/>
    <w:rsid w:val="005658D8"/>
    <w:rsid w:val="0056664B"/>
    <w:rsid w:val="0056712F"/>
    <w:rsid w:val="005701EC"/>
    <w:rsid w:val="00571F53"/>
    <w:rsid w:val="0057261F"/>
    <w:rsid w:val="00572B78"/>
    <w:rsid w:val="00573C02"/>
    <w:rsid w:val="005750E3"/>
    <w:rsid w:val="00582941"/>
    <w:rsid w:val="00583CE4"/>
    <w:rsid w:val="0058527A"/>
    <w:rsid w:val="00585B9B"/>
    <w:rsid w:val="00590DEC"/>
    <w:rsid w:val="00591AAD"/>
    <w:rsid w:val="00597BCE"/>
    <w:rsid w:val="005A48F3"/>
    <w:rsid w:val="005A7E70"/>
    <w:rsid w:val="005B3F6D"/>
    <w:rsid w:val="005B432F"/>
    <w:rsid w:val="005C12D5"/>
    <w:rsid w:val="005C3350"/>
    <w:rsid w:val="005C7AA3"/>
    <w:rsid w:val="005D6F0E"/>
    <w:rsid w:val="005E27E7"/>
    <w:rsid w:val="005E2E72"/>
    <w:rsid w:val="005E73B2"/>
    <w:rsid w:val="005E7F7E"/>
    <w:rsid w:val="005F0604"/>
    <w:rsid w:val="005F3EFF"/>
    <w:rsid w:val="00601816"/>
    <w:rsid w:val="006048D8"/>
    <w:rsid w:val="0060780D"/>
    <w:rsid w:val="00610C49"/>
    <w:rsid w:val="0061167A"/>
    <w:rsid w:val="00612D5C"/>
    <w:rsid w:val="0061301C"/>
    <w:rsid w:val="0061673E"/>
    <w:rsid w:val="006207E5"/>
    <w:rsid w:val="00630E96"/>
    <w:rsid w:val="00640455"/>
    <w:rsid w:val="00646C67"/>
    <w:rsid w:val="00652850"/>
    <w:rsid w:val="00652DB8"/>
    <w:rsid w:val="00654214"/>
    <w:rsid w:val="00657466"/>
    <w:rsid w:val="00657C06"/>
    <w:rsid w:val="00660A0F"/>
    <w:rsid w:val="00661125"/>
    <w:rsid w:val="0066163B"/>
    <w:rsid w:val="00663BC7"/>
    <w:rsid w:val="00664FD7"/>
    <w:rsid w:val="00666B98"/>
    <w:rsid w:val="00666BB8"/>
    <w:rsid w:val="006733E5"/>
    <w:rsid w:val="00675A71"/>
    <w:rsid w:val="00676A6D"/>
    <w:rsid w:val="00677DD8"/>
    <w:rsid w:val="00683A59"/>
    <w:rsid w:val="00684211"/>
    <w:rsid w:val="00685179"/>
    <w:rsid w:val="00686ADF"/>
    <w:rsid w:val="00690259"/>
    <w:rsid w:val="006912E0"/>
    <w:rsid w:val="0069508D"/>
    <w:rsid w:val="006A0A8E"/>
    <w:rsid w:val="006A0BEA"/>
    <w:rsid w:val="006A26A4"/>
    <w:rsid w:val="006A32EC"/>
    <w:rsid w:val="006A4BCF"/>
    <w:rsid w:val="006B1431"/>
    <w:rsid w:val="006C0814"/>
    <w:rsid w:val="006C7A9A"/>
    <w:rsid w:val="006D2AD7"/>
    <w:rsid w:val="006D47F1"/>
    <w:rsid w:val="006D5EA4"/>
    <w:rsid w:val="006E5915"/>
    <w:rsid w:val="006F3E15"/>
    <w:rsid w:val="00710004"/>
    <w:rsid w:val="00710ED7"/>
    <w:rsid w:val="00712D80"/>
    <w:rsid w:val="00715916"/>
    <w:rsid w:val="007214F2"/>
    <w:rsid w:val="00730A53"/>
    <w:rsid w:val="007333C2"/>
    <w:rsid w:val="00734E60"/>
    <w:rsid w:val="00740077"/>
    <w:rsid w:val="0074413D"/>
    <w:rsid w:val="00757A96"/>
    <w:rsid w:val="00757C91"/>
    <w:rsid w:val="00760BDE"/>
    <w:rsid w:val="00760FB2"/>
    <w:rsid w:val="00761CF1"/>
    <w:rsid w:val="00770742"/>
    <w:rsid w:val="00774502"/>
    <w:rsid w:val="00777C46"/>
    <w:rsid w:val="00780FEC"/>
    <w:rsid w:val="00784CF8"/>
    <w:rsid w:val="00785564"/>
    <w:rsid w:val="00794F1B"/>
    <w:rsid w:val="00797BC7"/>
    <w:rsid w:val="00797FE1"/>
    <w:rsid w:val="007A0C10"/>
    <w:rsid w:val="007A1E9A"/>
    <w:rsid w:val="007A2C7D"/>
    <w:rsid w:val="007A6371"/>
    <w:rsid w:val="007B008E"/>
    <w:rsid w:val="007B5461"/>
    <w:rsid w:val="007B7A07"/>
    <w:rsid w:val="007C47E0"/>
    <w:rsid w:val="007D18BF"/>
    <w:rsid w:val="007E0876"/>
    <w:rsid w:val="007E244F"/>
    <w:rsid w:val="007E42FF"/>
    <w:rsid w:val="007F2C1F"/>
    <w:rsid w:val="007F3E59"/>
    <w:rsid w:val="007F416D"/>
    <w:rsid w:val="007F5F94"/>
    <w:rsid w:val="00800E30"/>
    <w:rsid w:val="00803393"/>
    <w:rsid w:val="008033ED"/>
    <w:rsid w:val="0081457B"/>
    <w:rsid w:val="008236D6"/>
    <w:rsid w:val="00825FEF"/>
    <w:rsid w:val="0083326F"/>
    <w:rsid w:val="008414B6"/>
    <w:rsid w:val="00841D70"/>
    <w:rsid w:val="00843BB9"/>
    <w:rsid w:val="008471CB"/>
    <w:rsid w:val="008501DC"/>
    <w:rsid w:val="00851D5C"/>
    <w:rsid w:val="008542BF"/>
    <w:rsid w:val="00855409"/>
    <w:rsid w:val="00855A43"/>
    <w:rsid w:val="00856AFA"/>
    <w:rsid w:val="00862467"/>
    <w:rsid w:val="0086287D"/>
    <w:rsid w:val="00863240"/>
    <w:rsid w:val="008656E2"/>
    <w:rsid w:val="00866E1A"/>
    <w:rsid w:val="00867B65"/>
    <w:rsid w:val="0087036C"/>
    <w:rsid w:val="00874701"/>
    <w:rsid w:val="008769BA"/>
    <w:rsid w:val="00880692"/>
    <w:rsid w:val="00883554"/>
    <w:rsid w:val="00883CA5"/>
    <w:rsid w:val="0089086E"/>
    <w:rsid w:val="0089131D"/>
    <w:rsid w:val="00892C07"/>
    <w:rsid w:val="00894BF9"/>
    <w:rsid w:val="008A3317"/>
    <w:rsid w:val="008A650A"/>
    <w:rsid w:val="008B3B0D"/>
    <w:rsid w:val="008B5576"/>
    <w:rsid w:val="008B614F"/>
    <w:rsid w:val="008C28C2"/>
    <w:rsid w:val="008C35C7"/>
    <w:rsid w:val="008C46D5"/>
    <w:rsid w:val="008D0DB5"/>
    <w:rsid w:val="008D0FBC"/>
    <w:rsid w:val="008D18E1"/>
    <w:rsid w:val="008D34ED"/>
    <w:rsid w:val="008D4D73"/>
    <w:rsid w:val="008E0E47"/>
    <w:rsid w:val="008E4BF7"/>
    <w:rsid w:val="008E5001"/>
    <w:rsid w:val="008E55B3"/>
    <w:rsid w:val="008F2F41"/>
    <w:rsid w:val="0090235F"/>
    <w:rsid w:val="00904552"/>
    <w:rsid w:val="0090669F"/>
    <w:rsid w:val="0091354F"/>
    <w:rsid w:val="00921301"/>
    <w:rsid w:val="00923A4A"/>
    <w:rsid w:val="0092557B"/>
    <w:rsid w:val="00934894"/>
    <w:rsid w:val="00941085"/>
    <w:rsid w:val="009411FB"/>
    <w:rsid w:val="00945F9A"/>
    <w:rsid w:val="0095038C"/>
    <w:rsid w:val="0095675A"/>
    <w:rsid w:val="00962958"/>
    <w:rsid w:val="009668CF"/>
    <w:rsid w:val="0098238A"/>
    <w:rsid w:val="00986BF7"/>
    <w:rsid w:val="00990A64"/>
    <w:rsid w:val="009916D3"/>
    <w:rsid w:val="00993E0A"/>
    <w:rsid w:val="00994B5C"/>
    <w:rsid w:val="009B05A5"/>
    <w:rsid w:val="009B409F"/>
    <w:rsid w:val="009C0846"/>
    <w:rsid w:val="009C4440"/>
    <w:rsid w:val="009E11DD"/>
    <w:rsid w:val="009E5EE9"/>
    <w:rsid w:val="009E62E2"/>
    <w:rsid w:val="009E700A"/>
    <w:rsid w:val="009F2FD6"/>
    <w:rsid w:val="009F3D07"/>
    <w:rsid w:val="009F6650"/>
    <w:rsid w:val="009F6D80"/>
    <w:rsid w:val="009F7735"/>
    <w:rsid w:val="00A01292"/>
    <w:rsid w:val="00A0225D"/>
    <w:rsid w:val="00A02350"/>
    <w:rsid w:val="00A023CE"/>
    <w:rsid w:val="00A02A33"/>
    <w:rsid w:val="00A046ED"/>
    <w:rsid w:val="00A07B4F"/>
    <w:rsid w:val="00A112A9"/>
    <w:rsid w:val="00A11466"/>
    <w:rsid w:val="00A15F5D"/>
    <w:rsid w:val="00A26248"/>
    <w:rsid w:val="00A263EE"/>
    <w:rsid w:val="00A361C3"/>
    <w:rsid w:val="00A379B3"/>
    <w:rsid w:val="00A37FF0"/>
    <w:rsid w:val="00A4395B"/>
    <w:rsid w:val="00A43AB5"/>
    <w:rsid w:val="00A45646"/>
    <w:rsid w:val="00A50530"/>
    <w:rsid w:val="00A51127"/>
    <w:rsid w:val="00A51B4D"/>
    <w:rsid w:val="00A5247E"/>
    <w:rsid w:val="00A52E31"/>
    <w:rsid w:val="00A53B89"/>
    <w:rsid w:val="00A55226"/>
    <w:rsid w:val="00A57AD3"/>
    <w:rsid w:val="00A60E97"/>
    <w:rsid w:val="00A62485"/>
    <w:rsid w:val="00A64FFA"/>
    <w:rsid w:val="00A70411"/>
    <w:rsid w:val="00A7179A"/>
    <w:rsid w:val="00A71DC2"/>
    <w:rsid w:val="00A77D09"/>
    <w:rsid w:val="00A77EA5"/>
    <w:rsid w:val="00A80BAA"/>
    <w:rsid w:val="00A822EB"/>
    <w:rsid w:val="00A841C5"/>
    <w:rsid w:val="00A86B17"/>
    <w:rsid w:val="00A90BBC"/>
    <w:rsid w:val="00A92EB5"/>
    <w:rsid w:val="00A97453"/>
    <w:rsid w:val="00A97D99"/>
    <w:rsid w:val="00AA0433"/>
    <w:rsid w:val="00AA179B"/>
    <w:rsid w:val="00AA45BE"/>
    <w:rsid w:val="00AB36BA"/>
    <w:rsid w:val="00AB7595"/>
    <w:rsid w:val="00AC1306"/>
    <w:rsid w:val="00AC26A0"/>
    <w:rsid w:val="00AC3F13"/>
    <w:rsid w:val="00AC4DE3"/>
    <w:rsid w:val="00AC71A4"/>
    <w:rsid w:val="00AD05DD"/>
    <w:rsid w:val="00AD0E65"/>
    <w:rsid w:val="00AD0EB6"/>
    <w:rsid w:val="00AD423D"/>
    <w:rsid w:val="00AE1C79"/>
    <w:rsid w:val="00AF1473"/>
    <w:rsid w:val="00B0591B"/>
    <w:rsid w:val="00B073CD"/>
    <w:rsid w:val="00B11FDD"/>
    <w:rsid w:val="00B12B1B"/>
    <w:rsid w:val="00B136EA"/>
    <w:rsid w:val="00B14F1F"/>
    <w:rsid w:val="00B16110"/>
    <w:rsid w:val="00B20C8E"/>
    <w:rsid w:val="00B230B1"/>
    <w:rsid w:val="00B2529A"/>
    <w:rsid w:val="00B33348"/>
    <w:rsid w:val="00B34C30"/>
    <w:rsid w:val="00B404FF"/>
    <w:rsid w:val="00B4090E"/>
    <w:rsid w:val="00B4395E"/>
    <w:rsid w:val="00B44874"/>
    <w:rsid w:val="00B44F56"/>
    <w:rsid w:val="00B52A56"/>
    <w:rsid w:val="00B63B55"/>
    <w:rsid w:val="00B675B4"/>
    <w:rsid w:val="00B71ABE"/>
    <w:rsid w:val="00B81E8B"/>
    <w:rsid w:val="00B834B6"/>
    <w:rsid w:val="00B87F34"/>
    <w:rsid w:val="00B94752"/>
    <w:rsid w:val="00B95055"/>
    <w:rsid w:val="00B9691D"/>
    <w:rsid w:val="00BA0457"/>
    <w:rsid w:val="00BB2114"/>
    <w:rsid w:val="00BB5F75"/>
    <w:rsid w:val="00BC0250"/>
    <w:rsid w:val="00BC1B9D"/>
    <w:rsid w:val="00BC5C50"/>
    <w:rsid w:val="00BD3036"/>
    <w:rsid w:val="00BE18DC"/>
    <w:rsid w:val="00BE4E4B"/>
    <w:rsid w:val="00BF04C2"/>
    <w:rsid w:val="00BF39C4"/>
    <w:rsid w:val="00BF6C4E"/>
    <w:rsid w:val="00C02066"/>
    <w:rsid w:val="00C1072B"/>
    <w:rsid w:val="00C12B2E"/>
    <w:rsid w:val="00C24E13"/>
    <w:rsid w:val="00C32C0A"/>
    <w:rsid w:val="00C337ED"/>
    <w:rsid w:val="00C352B7"/>
    <w:rsid w:val="00C358AE"/>
    <w:rsid w:val="00C37B47"/>
    <w:rsid w:val="00C40778"/>
    <w:rsid w:val="00C412AA"/>
    <w:rsid w:val="00C46EA4"/>
    <w:rsid w:val="00C5295C"/>
    <w:rsid w:val="00C55C69"/>
    <w:rsid w:val="00C56686"/>
    <w:rsid w:val="00C57BDB"/>
    <w:rsid w:val="00C70070"/>
    <w:rsid w:val="00C710AA"/>
    <w:rsid w:val="00C71385"/>
    <w:rsid w:val="00C80DA6"/>
    <w:rsid w:val="00C81602"/>
    <w:rsid w:val="00C86D18"/>
    <w:rsid w:val="00C91E32"/>
    <w:rsid w:val="00C958A2"/>
    <w:rsid w:val="00C96034"/>
    <w:rsid w:val="00C970FA"/>
    <w:rsid w:val="00CA41A6"/>
    <w:rsid w:val="00CA55A1"/>
    <w:rsid w:val="00CB1B5E"/>
    <w:rsid w:val="00CB531C"/>
    <w:rsid w:val="00CB655C"/>
    <w:rsid w:val="00CC0FB8"/>
    <w:rsid w:val="00CC6362"/>
    <w:rsid w:val="00CD535E"/>
    <w:rsid w:val="00CD7BC2"/>
    <w:rsid w:val="00CE2260"/>
    <w:rsid w:val="00CF0CC4"/>
    <w:rsid w:val="00CF337C"/>
    <w:rsid w:val="00CF656D"/>
    <w:rsid w:val="00D01E43"/>
    <w:rsid w:val="00D035AE"/>
    <w:rsid w:val="00D10571"/>
    <w:rsid w:val="00D10DB0"/>
    <w:rsid w:val="00D12AC6"/>
    <w:rsid w:val="00D14C42"/>
    <w:rsid w:val="00D169D4"/>
    <w:rsid w:val="00D23A55"/>
    <w:rsid w:val="00D25A93"/>
    <w:rsid w:val="00D3388B"/>
    <w:rsid w:val="00D3743C"/>
    <w:rsid w:val="00D4519A"/>
    <w:rsid w:val="00D47078"/>
    <w:rsid w:val="00D50066"/>
    <w:rsid w:val="00D52DAE"/>
    <w:rsid w:val="00D5440C"/>
    <w:rsid w:val="00D55164"/>
    <w:rsid w:val="00D603A8"/>
    <w:rsid w:val="00D615F8"/>
    <w:rsid w:val="00D62C67"/>
    <w:rsid w:val="00D64869"/>
    <w:rsid w:val="00D65746"/>
    <w:rsid w:val="00D71A52"/>
    <w:rsid w:val="00D80C32"/>
    <w:rsid w:val="00D834DB"/>
    <w:rsid w:val="00D84435"/>
    <w:rsid w:val="00D913A4"/>
    <w:rsid w:val="00D91C06"/>
    <w:rsid w:val="00D94CDD"/>
    <w:rsid w:val="00D959B5"/>
    <w:rsid w:val="00DA07A8"/>
    <w:rsid w:val="00DA2466"/>
    <w:rsid w:val="00DA2608"/>
    <w:rsid w:val="00DA4820"/>
    <w:rsid w:val="00DB0D06"/>
    <w:rsid w:val="00DB0EA6"/>
    <w:rsid w:val="00DB1F41"/>
    <w:rsid w:val="00DB4F1D"/>
    <w:rsid w:val="00DB5277"/>
    <w:rsid w:val="00DC3376"/>
    <w:rsid w:val="00DC524C"/>
    <w:rsid w:val="00DD155C"/>
    <w:rsid w:val="00DD2D39"/>
    <w:rsid w:val="00DD7C73"/>
    <w:rsid w:val="00DE7555"/>
    <w:rsid w:val="00DF4140"/>
    <w:rsid w:val="00DF76ED"/>
    <w:rsid w:val="00E01874"/>
    <w:rsid w:val="00E02F0E"/>
    <w:rsid w:val="00E0476B"/>
    <w:rsid w:val="00E04E63"/>
    <w:rsid w:val="00E125C3"/>
    <w:rsid w:val="00E15408"/>
    <w:rsid w:val="00E15A99"/>
    <w:rsid w:val="00E22DBF"/>
    <w:rsid w:val="00E24072"/>
    <w:rsid w:val="00E2602B"/>
    <w:rsid w:val="00E325C8"/>
    <w:rsid w:val="00E353A9"/>
    <w:rsid w:val="00E36083"/>
    <w:rsid w:val="00E419AC"/>
    <w:rsid w:val="00E43677"/>
    <w:rsid w:val="00E54D27"/>
    <w:rsid w:val="00E551C1"/>
    <w:rsid w:val="00E55320"/>
    <w:rsid w:val="00E6020D"/>
    <w:rsid w:val="00E61AF5"/>
    <w:rsid w:val="00E621C5"/>
    <w:rsid w:val="00E6268F"/>
    <w:rsid w:val="00E63376"/>
    <w:rsid w:val="00E634C2"/>
    <w:rsid w:val="00E637A9"/>
    <w:rsid w:val="00E637BE"/>
    <w:rsid w:val="00E64207"/>
    <w:rsid w:val="00E65EBA"/>
    <w:rsid w:val="00E740BB"/>
    <w:rsid w:val="00E85489"/>
    <w:rsid w:val="00E87F2E"/>
    <w:rsid w:val="00E92B12"/>
    <w:rsid w:val="00E937C4"/>
    <w:rsid w:val="00E96642"/>
    <w:rsid w:val="00E968EC"/>
    <w:rsid w:val="00EA222D"/>
    <w:rsid w:val="00EB235A"/>
    <w:rsid w:val="00EB3158"/>
    <w:rsid w:val="00EC0A61"/>
    <w:rsid w:val="00EC18A1"/>
    <w:rsid w:val="00EC357A"/>
    <w:rsid w:val="00ED3517"/>
    <w:rsid w:val="00ED45B8"/>
    <w:rsid w:val="00ED6442"/>
    <w:rsid w:val="00ED78AE"/>
    <w:rsid w:val="00ED7E6C"/>
    <w:rsid w:val="00EE1D1E"/>
    <w:rsid w:val="00EE46F5"/>
    <w:rsid w:val="00EF2175"/>
    <w:rsid w:val="00EF32B8"/>
    <w:rsid w:val="00F00639"/>
    <w:rsid w:val="00F01A5E"/>
    <w:rsid w:val="00F13C2C"/>
    <w:rsid w:val="00F15CC9"/>
    <w:rsid w:val="00F16E00"/>
    <w:rsid w:val="00F170A5"/>
    <w:rsid w:val="00F17D3B"/>
    <w:rsid w:val="00F21A88"/>
    <w:rsid w:val="00F24FBC"/>
    <w:rsid w:val="00F27240"/>
    <w:rsid w:val="00F32562"/>
    <w:rsid w:val="00F32DE5"/>
    <w:rsid w:val="00F34ACD"/>
    <w:rsid w:val="00F3605F"/>
    <w:rsid w:val="00F36F15"/>
    <w:rsid w:val="00F47679"/>
    <w:rsid w:val="00F479A2"/>
    <w:rsid w:val="00F47EFE"/>
    <w:rsid w:val="00F52F29"/>
    <w:rsid w:val="00F5561D"/>
    <w:rsid w:val="00F562F0"/>
    <w:rsid w:val="00F63946"/>
    <w:rsid w:val="00F644A8"/>
    <w:rsid w:val="00F657BF"/>
    <w:rsid w:val="00F73E24"/>
    <w:rsid w:val="00F7484D"/>
    <w:rsid w:val="00F77998"/>
    <w:rsid w:val="00F80C2D"/>
    <w:rsid w:val="00F814AF"/>
    <w:rsid w:val="00F818B9"/>
    <w:rsid w:val="00F81B22"/>
    <w:rsid w:val="00F81B2B"/>
    <w:rsid w:val="00F8577A"/>
    <w:rsid w:val="00F91547"/>
    <w:rsid w:val="00F94A7C"/>
    <w:rsid w:val="00F96087"/>
    <w:rsid w:val="00F96F0C"/>
    <w:rsid w:val="00FA3E29"/>
    <w:rsid w:val="00FA6343"/>
    <w:rsid w:val="00FA7F10"/>
    <w:rsid w:val="00FB06AD"/>
    <w:rsid w:val="00FB1743"/>
    <w:rsid w:val="00FB2D6C"/>
    <w:rsid w:val="00FB432F"/>
    <w:rsid w:val="00FB5F6D"/>
    <w:rsid w:val="00FB620E"/>
    <w:rsid w:val="00FB7182"/>
    <w:rsid w:val="00FC29DF"/>
    <w:rsid w:val="00FC3067"/>
    <w:rsid w:val="00FD02F2"/>
    <w:rsid w:val="00FD32AF"/>
    <w:rsid w:val="00FD4AF1"/>
    <w:rsid w:val="00FE113D"/>
    <w:rsid w:val="00FE32E1"/>
    <w:rsid w:val="00FE45C8"/>
    <w:rsid w:val="00FE5015"/>
    <w:rsid w:val="00FE6E44"/>
    <w:rsid w:val="00FE6F56"/>
    <w:rsid w:val="00FF05D2"/>
    <w:rsid w:val="00FF30ED"/>
    <w:rsid w:val="00FF5464"/>
    <w:rsid w:val="00FF6955"/>
    <w:rsid w:val="00FF6C3B"/>
    <w:rsid w:val="058E7F44"/>
    <w:rsid w:val="07EB6983"/>
    <w:rsid w:val="0C891EDF"/>
    <w:rsid w:val="0CA41D5B"/>
    <w:rsid w:val="0E94694C"/>
    <w:rsid w:val="0FF00AF2"/>
    <w:rsid w:val="11421403"/>
    <w:rsid w:val="11C360A4"/>
    <w:rsid w:val="12363ACA"/>
    <w:rsid w:val="16F063BC"/>
    <w:rsid w:val="1DD142B1"/>
    <w:rsid w:val="202D14F3"/>
    <w:rsid w:val="236A5B21"/>
    <w:rsid w:val="23EF5AB9"/>
    <w:rsid w:val="25CD2E6A"/>
    <w:rsid w:val="25D65517"/>
    <w:rsid w:val="262710C0"/>
    <w:rsid w:val="2B6C2589"/>
    <w:rsid w:val="2BA0706F"/>
    <w:rsid w:val="2E1230EE"/>
    <w:rsid w:val="2FDC2CF0"/>
    <w:rsid w:val="32DD709E"/>
    <w:rsid w:val="3FB340E3"/>
    <w:rsid w:val="42F53836"/>
    <w:rsid w:val="44F72AEC"/>
    <w:rsid w:val="47673817"/>
    <w:rsid w:val="4BA4742A"/>
    <w:rsid w:val="4F5E5643"/>
    <w:rsid w:val="4F6A4F03"/>
    <w:rsid w:val="576727E0"/>
    <w:rsid w:val="5B484685"/>
    <w:rsid w:val="5C821EAF"/>
    <w:rsid w:val="5F6F0589"/>
    <w:rsid w:val="684B5CD6"/>
    <w:rsid w:val="6C4773BE"/>
    <w:rsid w:val="6DAA6C60"/>
    <w:rsid w:val="722261CB"/>
    <w:rsid w:val="727451E4"/>
    <w:rsid w:val="7AA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15CE30-5637-4FCF-98AA-1685CC5D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鲍俊峰</dc:creator>
  <cp:lastModifiedBy>86132</cp:lastModifiedBy>
  <cp:revision>2</cp:revision>
  <dcterms:created xsi:type="dcterms:W3CDTF">2022-08-23T03:03:00Z</dcterms:created>
  <dcterms:modified xsi:type="dcterms:W3CDTF">2022-08-23T03:03:00Z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56F0E81663FA4E1AA44DF1CCA097452C</vt:lpwstr>
  </property>
</Properties>
</file>