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44"/>
          <w:szCs w:val="44"/>
        </w:rPr>
      </w:pPr>
      <w:r>
        <w:rPr>
          <w:rFonts w:hint="eastAsia" w:ascii="仿宋" w:hAnsi="仿宋" w:eastAsia="仿宋" w:cs="仿宋"/>
          <w:b/>
          <w:bCs/>
          <w:sz w:val="44"/>
          <w:szCs w:val="44"/>
        </w:rPr>
        <w:t>天工艺苑阶段性经营商管服务商招募方案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sz w:val="28"/>
          <w:szCs w:val="28"/>
        </w:rPr>
        <w:t xml:space="preserve"> </w:t>
      </w:r>
      <w:r>
        <w:rPr>
          <w:sz w:val="28"/>
          <w:szCs w:val="28"/>
        </w:rPr>
        <w:t xml:space="preserve">   </w:t>
      </w:r>
      <w:r>
        <w:rPr>
          <w:rFonts w:hint="eastAsia" w:ascii="仿宋" w:hAnsi="仿宋" w:eastAsia="仿宋" w:cs="仿宋"/>
          <w:sz w:val="32"/>
          <w:szCs w:val="32"/>
        </w:rPr>
        <w:t>一、招募标的资产基本情况</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rPr>
        <w:t>此次拟招募标的资产为杭州创钰商业管理有限责任公司名下位于杭州市上城区解放路91/93号的商业不动产。具体情况如下表：</w:t>
      </w:r>
    </w:p>
    <w:tbl>
      <w:tblPr>
        <w:tblStyle w:val="8"/>
        <w:tblW w:w="919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545"/>
        <w:gridCol w:w="2551"/>
        <w:gridCol w:w="51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2" w:hRule="atLeast"/>
          <w:jc w:val="center"/>
        </w:trPr>
        <w:tc>
          <w:tcPr>
            <w:tcW w:w="1545" w:type="dxa"/>
            <w:vMerge w:val="restart"/>
            <w:vAlign w:val="center"/>
          </w:tcPr>
          <w:p>
            <w:pPr>
              <w:pStyle w:val="12"/>
              <w:spacing w:after="156"/>
              <w:ind w:firstLine="46" w:firstLineChars="22"/>
              <w:jc w:val="center"/>
              <w:rPr>
                <w:rFonts w:hint="eastAsia" w:ascii="仿宋" w:hAnsi="仿宋" w:eastAsia="仿宋" w:cs="仿宋"/>
                <w:b/>
                <w:sz w:val="21"/>
                <w:szCs w:val="21"/>
              </w:rPr>
            </w:pPr>
            <w:bookmarkStart w:id="2" w:name="_GoBack" w:colFirst="0" w:colLast="2"/>
            <w:r>
              <w:rPr>
                <w:rFonts w:hint="eastAsia" w:ascii="仿宋" w:hAnsi="仿宋" w:eastAsia="仿宋" w:cs="仿宋"/>
                <w:b/>
                <w:sz w:val="21"/>
                <w:szCs w:val="21"/>
              </w:rPr>
              <w:t>不动产权登记情况</w:t>
            </w:r>
          </w:p>
        </w:tc>
        <w:tc>
          <w:tcPr>
            <w:tcW w:w="2551" w:type="dxa"/>
            <w:vAlign w:val="center"/>
          </w:tcPr>
          <w:p>
            <w:pPr>
              <w:pStyle w:val="12"/>
              <w:spacing w:after="156"/>
              <w:ind w:firstLine="46" w:firstLineChars="22"/>
              <w:jc w:val="center"/>
              <w:rPr>
                <w:rFonts w:hint="eastAsia" w:ascii="仿宋" w:hAnsi="仿宋" w:eastAsia="仿宋" w:cs="仿宋"/>
                <w:sz w:val="21"/>
                <w:szCs w:val="21"/>
              </w:rPr>
            </w:pPr>
            <w:r>
              <w:rPr>
                <w:rFonts w:hint="eastAsia" w:ascii="仿宋" w:hAnsi="仿宋" w:eastAsia="仿宋" w:cs="仿宋"/>
                <w:sz w:val="21"/>
                <w:szCs w:val="21"/>
              </w:rPr>
              <w:t>招募方</w:t>
            </w:r>
          </w:p>
        </w:tc>
        <w:tc>
          <w:tcPr>
            <w:tcW w:w="5103" w:type="dxa"/>
            <w:vAlign w:val="center"/>
          </w:tcPr>
          <w:p>
            <w:pPr>
              <w:pStyle w:val="12"/>
              <w:spacing w:after="156"/>
              <w:ind w:firstLine="46" w:firstLineChars="22"/>
              <w:jc w:val="center"/>
              <w:rPr>
                <w:rFonts w:hint="eastAsia" w:ascii="仿宋" w:hAnsi="仿宋" w:eastAsia="仿宋" w:cs="仿宋"/>
                <w:sz w:val="21"/>
                <w:szCs w:val="21"/>
              </w:rPr>
            </w:pPr>
            <w:r>
              <w:rPr>
                <w:rFonts w:hint="eastAsia" w:ascii="仿宋" w:hAnsi="仿宋" w:eastAsia="仿宋" w:cs="仿宋"/>
                <w:sz w:val="21"/>
                <w:szCs w:val="21"/>
              </w:rPr>
              <w:t>杭州创钰商业管理有限责任公司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0" w:hRule="atLeast"/>
          <w:jc w:val="center"/>
        </w:trPr>
        <w:tc>
          <w:tcPr>
            <w:tcW w:w="1545" w:type="dxa"/>
            <w:vMerge w:val="continue"/>
            <w:vAlign w:val="center"/>
          </w:tcPr>
          <w:p>
            <w:pPr>
              <w:pStyle w:val="12"/>
              <w:spacing w:after="156"/>
              <w:ind w:firstLine="46" w:firstLineChars="22"/>
              <w:jc w:val="center"/>
              <w:rPr>
                <w:rFonts w:hint="eastAsia" w:ascii="仿宋" w:hAnsi="仿宋" w:eastAsia="仿宋" w:cs="仿宋"/>
                <w:b/>
                <w:sz w:val="21"/>
                <w:szCs w:val="21"/>
              </w:rPr>
            </w:pPr>
          </w:p>
        </w:tc>
        <w:tc>
          <w:tcPr>
            <w:tcW w:w="2551" w:type="dxa"/>
            <w:vAlign w:val="center"/>
          </w:tcPr>
          <w:p>
            <w:pPr>
              <w:pStyle w:val="12"/>
              <w:spacing w:after="156"/>
              <w:ind w:firstLine="46" w:firstLineChars="22"/>
              <w:jc w:val="center"/>
              <w:rPr>
                <w:rFonts w:hint="eastAsia" w:ascii="仿宋" w:hAnsi="仿宋" w:eastAsia="仿宋" w:cs="仿宋"/>
                <w:sz w:val="21"/>
                <w:szCs w:val="21"/>
              </w:rPr>
            </w:pPr>
            <w:r>
              <w:rPr>
                <w:rFonts w:hint="eastAsia" w:ascii="仿宋" w:hAnsi="仿宋" w:eastAsia="仿宋" w:cs="仿宋"/>
                <w:sz w:val="21"/>
                <w:szCs w:val="21"/>
              </w:rPr>
              <w:t>产权类型</w:t>
            </w:r>
          </w:p>
        </w:tc>
        <w:tc>
          <w:tcPr>
            <w:tcW w:w="5103" w:type="dxa"/>
            <w:vAlign w:val="center"/>
          </w:tcPr>
          <w:p>
            <w:pPr>
              <w:pStyle w:val="12"/>
              <w:spacing w:after="156"/>
              <w:ind w:firstLine="46" w:firstLineChars="22"/>
              <w:jc w:val="center"/>
              <w:rPr>
                <w:rFonts w:hint="eastAsia" w:ascii="仿宋" w:hAnsi="仿宋" w:eastAsia="仿宋" w:cs="仿宋"/>
                <w:sz w:val="21"/>
                <w:szCs w:val="21"/>
              </w:rPr>
            </w:pPr>
            <w:r>
              <w:rPr>
                <w:rFonts w:hint="eastAsia" w:ascii="仿宋" w:hAnsi="仿宋" w:eastAsia="仿宋" w:cs="仿宋"/>
                <w:sz w:val="21"/>
                <w:szCs w:val="21"/>
              </w:rPr>
              <w:t>房产（非住宅）</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0" w:hRule="atLeast"/>
          <w:jc w:val="center"/>
        </w:trPr>
        <w:tc>
          <w:tcPr>
            <w:tcW w:w="1545" w:type="dxa"/>
            <w:vMerge w:val="continue"/>
            <w:vAlign w:val="center"/>
          </w:tcPr>
          <w:p>
            <w:pPr>
              <w:pStyle w:val="12"/>
              <w:spacing w:after="156"/>
              <w:ind w:firstLine="46" w:firstLineChars="22"/>
              <w:jc w:val="center"/>
              <w:rPr>
                <w:rFonts w:hint="eastAsia" w:ascii="仿宋" w:hAnsi="仿宋" w:eastAsia="仿宋" w:cs="仿宋"/>
                <w:b/>
                <w:sz w:val="21"/>
                <w:szCs w:val="21"/>
              </w:rPr>
            </w:pPr>
          </w:p>
        </w:tc>
        <w:tc>
          <w:tcPr>
            <w:tcW w:w="2551" w:type="dxa"/>
            <w:vAlign w:val="center"/>
          </w:tcPr>
          <w:p>
            <w:pPr>
              <w:pStyle w:val="12"/>
              <w:spacing w:after="156"/>
              <w:ind w:firstLine="46" w:firstLineChars="22"/>
              <w:jc w:val="center"/>
              <w:rPr>
                <w:rFonts w:hint="eastAsia" w:ascii="仿宋" w:hAnsi="仿宋" w:eastAsia="仿宋" w:cs="仿宋"/>
                <w:sz w:val="21"/>
                <w:szCs w:val="21"/>
              </w:rPr>
            </w:pPr>
            <w:r>
              <w:rPr>
                <w:rFonts w:hint="eastAsia" w:ascii="仿宋" w:hAnsi="仿宋" w:eastAsia="仿宋" w:cs="仿宋"/>
                <w:sz w:val="21"/>
                <w:szCs w:val="21"/>
              </w:rPr>
              <w:t>登记时间</w:t>
            </w:r>
          </w:p>
        </w:tc>
        <w:tc>
          <w:tcPr>
            <w:tcW w:w="5103" w:type="dxa"/>
            <w:vAlign w:val="center"/>
          </w:tcPr>
          <w:p>
            <w:pPr>
              <w:pStyle w:val="12"/>
              <w:spacing w:after="156"/>
              <w:ind w:firstLine="46" w:firstLineChars="22"/>
              <w:jc w:val="center"/>
              <w:rPr>
                <w:rFonts w:hint="eastAsia" w:ascii="仿宋" w:hAnsi="仿宋" w:eastAsia="仿宋" w:cs="仿宋"/>
                <w:sz w:val="21"/>
                <w:szCs w:val="21"/>
              </w:rPr>
            </w:pPr>
            <w:r>
              <w:rPr>
                <w:rFonts w:hint="eastAsia" w:ascii="仿宋" w:hAnsi="仿宋" w:eastAsia="仿宋" w:cs="仿宋"/>
                <w:sz w:val="21"/>
                <w:szCs w:val="21"/>
              </w:rPr>
              <w:t>2022年3月28日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5" w:hRule="atLeast"/>
          <w:jc w:val="center"/>
        </w:trPr>
        <w:tc>
          <w:tcPr>
            <w:tcW w:w="1545" w:type="dxa"/>
            <w:vMerge w:val="continue"/>
          </w:tcPr>
          <w:p>
            <w:pPr>
              <w:pStyle w:val="12"/>
              <w:spacing w:after="156"/>
              <w:ind w:firstLine="46" w:firstLineChars="22"/>
              <w:jc w:val="center"/>
              <w:rPr>
                <w:rFonts w:hint="eastAsia" w:ascii="仿宋" w:hAnsi="仿宋" w:eastAsia="仿宋" w:cs="仿宋"/>
                <w:b/>
                <w:sz w:val="21"/>
                <w:szCs w:val="21"/>
              </w:rPr>
            </w:pPr>
          </w:p>
        </w:tc>
        <w:tc>
          <w:tcPr>
            <w:tcW w:w="2551" w:type="dxa"/>
            <w:vAlign w:val="center"/>
          </w:tcPr>
          <w:p>
            <w:pPr>
              <w:pStyle w:val="12"/>
              <w:spacing w:after="156"/>
              <w:ind w:firstLine="46" w:firstLineChars="22"/>
              <w:jc w:val="center"/>
              <w:rPr>
                <w:rFonts w:hint="eastAsia" w:ascii="仿宋" w:hAnsi="仿宋" w:eastAsia="仿宋" w:cs="仿宋"/>
                <w:sz w:val="21"/>
                <w:szCs w:val="21"/>
              </w:rPr>
            </w:pPr>
            <w:r>
              <w:rPr>
                <w:rFonts w:hint="eastAsia" w:ascii="仿宋" w:hAnsi="仿宋" w:eastAsia="仿宋" w:cs="仿宋"/>
                <w:sz w:val="21"/>
                <w:szCs w:val="21"/>
              </w:rPr>
              <w:t>建筑物坐落</w:t>
            </w:r>
          </w:p>
        </w:tc>
        <w:tc>
          <w:tcPr>
            <w:tcW w:w="5103" w:type="dxa"/>
            <w:vAlign w:val="center"/>
          </w:tcPr>
          <w:p>
            <w:pPr>
              <w:pStyle w:val="12"/>
              <w:tabs>
                <w:tab w:val="left" w:pos="1677"/>
              </w:tabs>
              <w:spacing w:after="156"/>
              <w:ind w:firstLine="46" w:firstLineChars="22"/>
              <w:jc w:val="center"/>
              <w:rPr>
                <w:rFonts w:hint="eastAsia" w:ascii="仿宋" w:hAnsi="仿宋" w:eastAsia="仿宋" w:cs="仿宋"/>
                <w:sz w:val="21"/>
                <w:szCs w:val="21"/>
              </w:rPr>
            </w:pPr>
            <w:r>
              <w:rPr>
                <w:rFonts w:hint="eastAsia" w:ascii="仿宋" w:hAnsi="仿宋" w:eastAsia="仿宋" w:cs="仿宋"/>
                <w:sz w:val="21"/>
                <w:szCs w:val="21"/>
              </w:rPr>
              <w:t>杭州市上城区解放路91、93号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0" w:hRule="atLeast"/>
          <w:jc w:val="center"/>
        </w:trPr>
        <w:tc>
          <w:tcPr>
            <w:tcW w:w="1545" w:type="dxa"/>
            <w:vMerge w:val="continue"/>
          </w:tcPr>
          <w:p>
            <w:pPr>
              <w:pStyle w:val="12"/>
              <w:spacing w:after="156"/>
              <w:ind w:firstLine="46" w:firstLineChars="22"/>
              <w:jc w:val="center"/>
              <w:rPr>
                <w:rFonts w:hint="eastAsia" w:ascii="仿宋" w:hAnsi="仿宋" w:eastAsia="仿宋" w:cs="仿宋"/>
                <w:b/>
                <w:sz w:val="21"/>
                <w:szCs w:val="21"/>
              </w:rPr>
            </w:pPr>
          </w:p>
        </w:tc>
        <w:tc>
          <w:tcPr>
            <w:tcW w:w="2551" w:type="dxa"/>
            <w:vAlign w:val="center"/>
          </w:tcPr>
          <w:p>
            <w:pPr>
              <w:pStyle w:val="12"/>
              <w:spacing w:after="156"/>
              <w:ind w:firstLine="46" w:firstLineChars="22"/>
              <w:jc w:val="center"/>
              <w:rPr>
                <w:rFonts w:hint="eastAsia" w:ascii="仿宋" w:hAnsi="仿宋" w:eastAsia="仿宋" w:cs="仿宋"/>
                <w:sz w:val="21"/>
                <w:szCs w:val="21"/>
              </w:rPr>
            </w:pPr>
            <w:r>
              <w:rPr>
                <w:rFonts w:hint="eastAsia" w:ascii="仿宋" w:hAnsi="仿宋" w:eastAsia="仿宋" w:cs="仿宋"/>
                <w:sz w:val="21"/>
                <w:szCs w:val="21"/>
              </w:rPr>
              <w:t>建筑物面积（㎡）</w:t>
            </w:r>
          </w:p>
        </w:tc>
        <w:tc>
          <w:tcPr>
            <w:tcW w:w="5103" w:type="dxa"/>
            <w:vAlign w:val="center"/>
          </w:tcPr>
          <w:p>
            <w:pPr>
              <w:pStyle w:val="12"/>
              <w:tabs>
                <w:tab w:val="left" w:pos="1677"/>
              </w:tabs>
              <w:spacing w:after="156"/>
              <w:ind w:firstLine="46" w:firstLineChars="22"/>
              <w:jc w:val="center"/>
              <w:rPr>
                <w:rFonts w:hint="eastAsia" w:ascii="仿宋" w:hAnsi="仿宋" w:eastAsia="仿宋" w:cs="仿宋"/>
                <w:color w:val="000000"/>
                <w:spacing w:val="8"/>
                <w:kern w:val="0"/>
                <w:sz w:val="21"/>
                <w:szCs w:val="21"/>
              </w:rPr>
            </w:pPr>
            <w:r>
              <w:rPr>
                <w:rFonts w:hint="eastAsia" w:ascii="仿宋" w:hAnsi="仿宋" w:eastAsia="仿宋" w:cs="仿宋"/>
                <w:sz w:val="21"/>
                <w:szCs w:val="21"/>
              </w:rPr>
              <w:t>39303.58㎡（证载面积为地上12层，建筑面积不含地下1层及13层办公房，未计入建筑面积的实际使用面积为约4000㎡）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0" w:hRule="atLeast"/>
          <w:jc w:val="center"/>
        </w:trPr>
        <w:tc>
          <w:tcPr>
            <w:tcW w:w="1545" w:type="dxa"/>
            <w:vMerge w:val="continue"/>
          </w:tcPr>
          <w:p>
            <w:pPr>
              <w:pStyle w:val="12"/>
              <w:spacing w:after="156"/>
              <w:ind w:firstLine="46" w:firstLineChars="22"/>
              <w:jc w:val="center"/>
              <w:rPr>
                <w:rFonts w:hint="eastAsia" w:ascii="仿宋" w:hAnsi="仿宋" w:eastAsia="仿宋" w:cs="仿宋"/>
                <w:b/>
                <w:sz w:val="21"/>
                <w:szCs w:val="21"/>
              </w:rPr>
            </w:pPr>
          </w:p>
        </w:tc>
        <w:tc>
          <w:tcPr>
            <w:tcW w:w="2551" w:type="dxa"/>
            <w:vAlign w:val="center"/>
          </w:tcPr>
          <w:p>
            <w:pPr>
              <w:pStyle w:val="12"/>
              <w:spacing w:after="156"/>
              <w:ind w:firstLine="46" w:firstLineChars="22"/>
              <w:jc w:val="center"/>
              <w:rPr>
                <w:rFonts w:hint="eastAsia" w:ascii="仿宋" w:hAnsi="仿宋" w:eastAsia="仿宋" w:cs="仿宋"/>
                <w:sz w:val="21"/>
                <w:szCs w:val="21"/>
              </w:rPr>
            </w:pPr>
            <w:r>
              <w:rPr>
                <w:rFonts w:hint="eastAsia" w:ascii="仿宋" w:hAnsi="仿宋" w:eastAsia="仿宋" w:cs="仿宋"/>
                <w:sz w:val="21"/>
                <w:szCs w:val="21"/>
              </w:rPr>
              <w:t>土地使用权面积（㎡）</w:t>
            </w:r>
          </w:p>
        </w:tc>
        <w:tc>
          <w:tcPr>
            <w:tcW w:w="5103" w:type="dxa"/>
            <w:vAlign w:val="center"/>
          </w:tcPr>
          <w:p>
            <w:pPr>
              <w:pStyle w:val="12"/>
              <w:spacing w:after="156"/>
              <w:ind w:firstLine="46" w:firstLineChars="22"/>
              <w:jc w:val="center"/>
              <w:rPr>
                <w:rFonts w:hint="eastAsia" w:ascii="仿宋" w:hAnsi="仿宋" w:eastAsia="仿宋" w:cs="仿宋"/>
                <w:sz w:val="21"/>
                <w:szCs w:val="21"/>
              </w:rPr>
            </w:pPr>
            <w:r>
              <w:rPr>
                <w:rFonts w:hint="eastAsia" w:ascii="仿宋" w:hAnsi="仿宋" w:eastAsia="仿宋" w:cs="仿宋"/>
                <w:sz w:val="21"/>
                <w:szCs w:val="21"/>
              </w:rPr>
              <w:t>4105㎡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0" w:hRule="atLeast"/>
          <w:jc w:val="center"/>
        </w:trPr>
        <w:tc>
          <w:tcPr>
            <w:tcW w:w="1545" w:type="dxa"/>
            <w:vMerge w:val="continue"/>
          </w:tcPr>
          <w:p>
            <w:pPr>
              <w:pStyle w:val="12"/>
              <w:spacing w:after="156"/>
              <w:ind w:firstLine="46" w:firstLineChars="22"/>
              <w:jc w:val="center"/>
              <w:rPr>
                <w:rFonts w:hint="eastAsia" w:ascii="仿宋" w:hAnsi="仿宋" w:eastAsia="仿宋" w:cs="仿宋"/>
                <w:b/>
                <w:sz w:val="21"/>
                <w:szCs w:val="21"/>
              </w:rPr>
            </w:pPr>
          </w:p>
        </w:tc>
        <w:tc>
          <w:tcPr>
            <w:tcW w:w="2551" w:type="dxa"/>
            <w:vAlign w:val="center"/>
          </w:tcPr>
          <w:p>
            <w:pPr>
              <w:pStyle w:val="12"/>
              <w:spacing w:after="156"/>
              <w:ind w:firstLine="46" w:firstLineChars="22"/>
              <w:jc w:val="center"/>
              <w:rPr>
                <w:rFonts w:hint="eastAsia" w:ascii="仿宋" w:hAnsi="仿宋" w:eastAsia="仿宋" w:cs="仿宋"/>
                <w:sz w:val="21"/>
                <w:szCs w:val="21"/>
              </w:rPr>
            </w:pPr>
            <w:r>
              <w:rPr>
                <w:rFonts w:hint="eastAsia" w:ascii="仿宋" w:hAnsi="仿宋" w:eastAsia="仿宋" w:cs="仿宋"/>
                <w:sz w:val="21"/>
                <w:szCs w:val="21"/>
              </w:rPr>
              <w:t>土地权属性质</w:t>
            </w:r>
          </w:p>
        </w:tc>
        <w:tc>
          <w:tcPr>
            <w:tcW w:w="5103" w:type="dxa"/>
            <w:vAlign w:val="center"/>
          </w:tcPr>
          <w:p>
            <w:pPr>
              <w:pStyle w:val="12"/>
              <w:spacing w:after="156"/>
              <w:ind w:firstLine="46" w:firstLineChars="22"/>
              <w:jc w:val="center"/>
              <w:rPr>
                <w:rFonts w:hint="eastAsia" w:ascii="仿宋" w:hAnsi="仿宋" w:eastAsia="仿宋" w:cs="仿宋"/>
                <w:sz w:val="21"/>
                <w:szCs w:val="21"/>
              </w:rPr>
            </w:pPr>
            <w:r>
              <w:rPr>
                <w:rFonts w:hint="eastAsia" w:ascii="仿宋" w:hAnsi="仿宋" w:eastAsia="仿宋" w:cs="仿宋"/>
                <w:sz w:val="21"/>
                <w:szCs w:val="21"/>
              </w:rPr>
              <w:t>商业（出让）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0" w:hRule="atLeast"/>
          <w:jc w:val="center"/>
        </w:trPr>
        <w:tc>
          <w:tcPr>
            <w:tcW w:w="1545" w:type="dxa"/>
            <w:vMerge w:val="continue"/>
          </w:tcPr>
          <w:p>
            <w:pPr>
              <w:pStyle w:val="12"/>
              <w:spacing w:after="156"/>
              <w:ind w:firstLine="46" w:firstLineChars="22"/>
              <w:jc w:val="center"/>
              <w:rPr>
                <w:rFonts w:hint="eastAsia" w:ascii="仿宋" w:hAnsi="仿宋" w:eastAsia="仿宋" w:cs="仿宋"/>
                <w:b/>
                <w:sz w:val="21"/>
                <w:szCs w:val="21"/>
              </w:rPr>
            </w:pPr>
          </w:p>
        </w:tc>
        <w:tc>
          <w:tcPr>
            <w:tcW w:w="2551" w:type="dxa"/>
            <w:vAlign w:val="center"/>
          </w:tcPr>
          <w:p>
            <w:pPr>
              <w:pStyle w:val="12"/>
              <w:spacing w:after="156"/>
              <w:ind w:firstLine="46" w:firstLineChars="22"/>
              <w:jc w:val="center"/>
              <w:rPr>
                <w:rFonts w:hint="eastAsia" w:ascii="仿宋" w:hAnsi="仿宋" w:eastAsia="仿宋" w:cs="仿宋"/>
                <w:sz w:val="21"/>
                <w:szCs w:val="21"/>
              </w:rPr>
            </w:pPr>
            <w:r>
              <w:rPr>
                <w:rFonts w:hint="eastAsia" w:ascii="仿宋" w:hAnsi="仿宋" w:eastAsia="仿宋" w:cs="仿宋"/>
                <w:sz w:val="21"/>
                <w:szCs w:val="21"/>
              </w:rPr>
              <w:t>土地使用期限</w:t>
            </w:r>
          </w:p>
        </w:tc>
        <w:tc>
          <w:tcPr>
            <w:tcW w:w="5103" w:type="dxa"/>
            <w:vAlign w:val="center"/>
          </w:tcPr>
          <w:p>
            <w:pPr>
              <w:pStyle w:val="12"/>
              <w:spacing w:after="156"/>
              <w:ind w:firstLine="46" w:firstLineChars="22"/>
              <w:jc w:val="center"/>
              <w:rPr>
                <w:rFonts w:hint="eastAsia" w:ascii="仿宋" w:hAnsi="仿宋" w:eastAsia="仿宋" w:cs="仿宋"/>
                <w:sz w:val="21"/>
                <w:szCs w:val="21"/>
              </w:rPr>
            </w:pPr>
            <w:r>
              <w:rPr>
                <w:rFonts w:hint="eastAsia" w:ascii="仿宋" w:hAnsi="仿宋" w:eastAsia="仿宋" w:cs="仿宋"/>
                <w:sz w:val="21"/>
                <w:szCs w:val="21"/>
              </w:rPr>
              <w:t>至2044年7月15日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1" w:hRule="atLeast"/>
          <w:jc w:val="center"/>
        </w:trPr>
        <w:tc>
          <w:tcPr>
            <w:tcW w:w="1545" w:type="dxa"/>
            <w:vAlign w:val="center"/>
          </w:tcPr>
          <w:p>
            <w:pPr>
              <w:pStyle w:val="12"/>
              <w:spacing w:after="156"/>
              <w:ind w:firstLine="46" w:firstLineChars="22"/>
              <w:jc w:val="center"/>
              <w:rPr>
                <w:rFonts w:hint="eastAsia" w:ascii="仿宋" w:hAnsi="仿宋" w:eastAsia="仿宋" w:cs="仿宋"/>
                <w:b/>
                <w:sz w:val="21"/>
                <w:szCs w:val="21"/>
              </w:rPr>
            </w:pPr>
            <w:r>
              <w:rPr>
                <w:rFonts w:hint="eastAsia" w:ascii="仿宋" w:hAnsi="仿宋" w:eastAsia="仿宋" w:cs="仿宋"/>
                <w:b/>
                <w:sz w:val="21"/>
                <w:szCs w:val="21"/>
              </w:rPr>
              <w:t>停车位</w:t>
            </w:r>
          </w:p>
        </w:tc>
        <w:tc>
          <w:tcPr>
            <w:tcW w:w="2551" w:type="dxa"/>
            <w:vAlign w:val="center"/>
          </w:tcPr>
          <w:p>
            <w:pPr>
              <w:pStyle w:val="12"/>
              <w:spacing w:after="156"/>
              <w:ind w:firstLine="46" w:firstLineChars="22"/>
              <w:jc w:val="center"/>
              <w:rPr>
                <w:rFonts w:hint="eastAsia" w:ascii="仿宋" w:hAnsi="仿宋" w:eastAsia="仿宋" w:cs="仿宋"/>
                <w:sz w:val="21"/>
                <w:szCs w:val="21"/>
              </w:rPr>
            </w:pPr>
            <w:r>
              <w:rPr>
                <w:rFonts w:hint="eastAsia" w:ascii="仿宋" w:hAnsi="仿宋" w:eastAsia="仿宋" w:cs="仿宋"/>
                <w:sz w:val="21"/>
                <w:szCs w:val="21"/>
              </w:rPr>
              <w:t>负一层及机械车位</w:t>
            </w:r>
          </w:p>
        </w:tc>
        <w:tc>
          <w:tcPr>
            <w:tcW w:w="5103" w:type="dxa"/>
            <w:vAlign w:val="center"/>
          </w:tcPr>
          <w:p>
            <w:pPr>
              <w:pStyle w:val="12"/>
              <w:spacing w:after="156"/>
              <w:ind w:firstLine="46" w:firstLineChars="22"/>
              <w:jc w:val="center"/>
              <w:rPr>
                <w:rFonts w:hint="eastAsia" w:ascii="仿宋" w:hAnsi="仿宋" w:eastAsia="仿宋" w:cs="仿宋"/>
                <w:sz w:val="21"/>
                <w:szCs w:val="21"/>
              </w:rPr>
            </w:pPr>
            <w:r>
              <w:rPr>
                <w:rFonts w:hint="eastAsia" w:ascii="仿宋" w:hAnsi="仿宋" w:eastAsia="仿宋" w:cs="仿宋"/>
                <w:sz w:val="21"/>
                <w:szCs w:val="21"/>
              </w:rPr>
              <w:t>经交管部门认定的车位合计162个</w:t>
            </w:r>
          </w:p>
        </w:tc>
      </w:tr>
      <w:bookmarkEnd w:id="2"/>
    </w:tbl>
    <w:p>
      <w:pPr>
        <w:pStyle w:val="3"/>
        <w:keepNext w:val="0"/>
        <w:keepLines w:val="0"/>
        <w:pageBreakBefore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rPr>
      </w:pPr>
      <w:r>
        <w:rPr>
          <w:rFonts w:hint="eastAsia" w:ascii="仿宋" w:hAnsi="仿宋" w:eastAsia="仿宋" w:cs="仿宋"/>
          <w:sz w:val="32"/>
          <w:szCs w:val="32"/>
        </w:rPr>
        <w:t>备注：关于标的资产建筑面积以不动产登记证书为准，具体可使用面积由投标方现场勘踏、充分考虑，并自行对于证载面积外的其他使用面积后续可能发生使用障碍的风险预判并独立承担后果。</w:t>
      </w:r>
    </w:p>
    <w:p>
      <w:pPr>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rPr>
        <w:t>二、标的资产经营管理现状披露</w:t>
      </w:r>
    </w:p>
    <w:p>
      <w:pPr>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rPr>
        <w:t>（一）租赁情况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标的资产共计14层，包含地下一层、地上12层以及13层附属用房。标的资产目前处于带租赁状态，其中1-3层主要使用业态为汇和商业美食城（内部分布20余家小商户）、酒店前厅以及知味观，4楼目前为空置状态，5楼为院外健康、6楼空置、7楼包含了酒店餐厅、棋牌室、健身房等、8-10楼为酒店、11楼空置、12楼为酒店、13层为部分酒店客房和物业办公场所。</w:t>
      </w:r>
      <w:r>
        <w:rPr>
          <w:rFonts w:hint="eastAsia" w:ascii="仿宋" w:hAnsi="仿宋" w:eastAsia="仿宋" w:cs="仿宋"/>
          <w:sz w:val="32"/>
          <w:szCs w:val="32"/>
          <w:lang w:val="en-US" w:eastAsia="zh-CN"/>
        </w:rPr>
        <w:t>存续租户</w:t>
      </w:r>
      <w:r>
        <w:rPr>
          <w:rFonts w:hint="eastAsia" w:ascii="仿宋" w:hAnsi="仿宋" w:eastAsia="仿宋" w:cs="仿宋"/>
          <w:sz w:val="32"/>
          <w:szCs w:val="32"/>
        </w:rPr>
        <w:t>承租面积约29</w:t>
      </w:r>
      <w:r>
        <w:rPr>
          <w:rFonts w:hint="eastAsia" w:ascii="仿宋" w:hAnsi="仿宋" w:eastAsia="仿宋" w:cs="仿宋"/>
          <w:sz w:val="32"/>
          <w:szCs w:val="32"/>
          <w:lang w:val="en-US" w:eastAsia="zh-CN"/>
        </w:rPr>
        <w:t>,</w:t>
      </w:r>
      <w:r>
        <w:rPr>
          <w:rFonts w:hint="eastAsia" w:ascii="仿宋" w:hAnsi="仿宋" w:eastAsia="仿宋" w:cs="仿宋"/>
          <w:sz w:val="32"/>
          <w:szCs w:val="32"/>
        </w:rPr>
        <w:t>524平方米（占总建筑面积的75.12%），年合同租金约2357万元，年停车收入约180万元，年物业费收入约162万元，总计约2699万元。</w:t>
      </w:r>
    </w:p>
    <w:p>
      <w:pPr>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rPr>
        <w:t>需要特别说明的是，招募方是通过司法拍卖后以物抵债的程序过户获得产权，按照司法拍卖公告披露的内容，拍卖为带租拍卖，具体续签规则以法律规定为准。招募方在资产接收后，一直在梳理租赁关系，附件所示内容为截至招募公告发布之日招募方根据原产权人和租户提供的租赁合同梳理的情况，但附件中对租赁合同的列述，不可视同招募方对于该等租赁合同关系的合法性、真实性、完整性作出了任何承诺或保证，实际使用情况以投标方自行现场勘察情况为准。投标方参与此次招募，则视为充分知晓并同意承担上述租赁关系隐含的风险，且已经将有关风险纳入收益测算等经营方案中，后续招募方不再接受以租赁关系相关风险可能影响收益等的任何主张。中标方在经营过程中自行负责理顺处理上述租赁关系，腾退不正常租赁关系。</w:t>
      </w:r>
    </w:p>
    <w:p>
      <w:pPr>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rPr>
        <w:t>（二）现场管理现状</w:t>
      </w:r>
    </w:p>
    <w:p>
      <w:pPr>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rPr>
        <w:t>标的资产大楼建筑物主体为钢筋混凝土结构13层，地上12层，地下1层，另建筑物12层顶层以上附有第13层加建面积（无证）。建筑物外立面采用石材、玻璃幕墙等装饰。楼宇北侧外立面展示效果良好，南侧外立面部分漆面、颜色、装饰脱落。大楼设多个出入口，是一座集商场、宾馆、办公为一体的综合性大楼。</w:t>
      </w:r>
    </w:p>
    <w:p>
      <w:pPr>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rPr>
        <w:t>标的资产配备了一定的消防、电梯、暖通、供水供电燃气排污等室内外工程，基本能够保证大楼运转。因标的资产是招募方以物抵债获得，原产权人多年来经营管理维护不善，且大楼本身建成时间较长，大楼各项设施设备维保和管理均处于不理想状态。根据招募方初步排查，标的资产的消防系统、监控系统、暖通系统、立体车库、电力系统等均存在不同程度的问题，距政府相关部门和国有资产安全生产管理工作要求仍有较大的差距。招募方初步排查的结果详见附件3。</w:t>
      </w:r>
    </w:p>
    <w:p>
      <w:pPr>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rPr>
        <w:t>上述排查结果仅作为投标方参考之用，大楼管理现状需以投标方勘察结果为准。投标方参与此次招募，则视为充分知晓并同意承担上述管理现状隐含的风险，并愿意在经营过程中自行负责升级和改造，确保安全生产工作管理到位。</w:t>
      </w:r>
    </w:p>
    <w:p>
      <w:pPr>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rPr>
        <w:t>三、招募方案</w:t>
      </w:r>
    </w:p>
    <w:p>
      <w:pPr>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rPr>
        <w:t>（一）服务商主体要求</w:t>
      </w:r>
    </w:p>
    <w:p>
      <w:pPr>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rPr>
        <w:t>1.主体资质</w:t>
      </w:r>
    </w:p>
    <w:p>
      <w:pPr>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rPr>
        <w:t>投标方需为在中华人民共和国境内注册成立时间1年（含）以上的独立法人机构，注册资金不低于1000万元，征信记录良好，未涉及重大诉讼、执行、行政处罚等案件。经营资产过程中，未出现重大涉众维稳事项和重大安全生产事故。</w:t>
      </w:r>
    </w:p>
    <w:p>
      <w:pPr>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rPr>
        <w:t>2.团队建设；</w:t>
      </w:r>
    </w:p>
    <w:p>
      <w:pPr>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rPr>
        <w:t>负责本项目的团队负责人具有从事商业招商运营管理工作经历，且不少于10年，团队骨干具有从事商业招商运营管理工作经历，且不少于5年。</w:t>
      </w:r>
    </w:p>
    <w:p>
      <w:pPr>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rPr>
        <w:t>3.物业服务能力；</w:t>
      </w:r>
    </w:p>
    <w:p>
      <w:pPr>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rPr>
        <w:t>须具有关联或者长期合作的资质较强的物业服务企业可进驻本项目进行物业管理服务，该物业公司管理办公楼、商业综合体等非住宅物业建筑面积不少于20万平方米。</w:t>
      </w:r>
    </w:p>
    <w:p>
      <w:pPr>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rPr>
        <w:t>4.商业管理经验和案例；</w:t>
      </w:r>
    </w:p>
    <w:p>
      <w:pPr>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rPr>
        <w:t>具备建筑面积不少于5万平方米的商业、写字楼、专业市场等综合体管理经营经验和案例。</w:t>
      </w:r>
    </w:p>
    <w:p>
      <w:pPr>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rPr>
        <w:t>5.品牌库建设情况</w:t>
      </w:r>
    </w:p>
    <w:p>
      <w:pPr>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rPr>
        <w:t>品牌库内具有适合本项目的品牌商家及业态类型客户，可使本项目形成有效的差异化优势，高效赋能商业运营。</w:t>
      </w:r>
    </w:p>
    <w:p>
      <w:pPr>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rPr>
        <w:t>上述情况投标方需在投标时提供佐证材料，并对佐证材料的真实性承担法律责任，供招募方进行审核。</w:t>
      </w:r>
    </w:p>
    <w:p>
      <w:pPr>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rPr>
        <w:t>（二）阶段性经营期限限制</w:t>
      </w:r>
    </w:p>
    <w:p>
      <w:pPr>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highlight w:val="yellow"/>
        </w:rPr>
        <w:t>阶段性经营期限最长不超过2029年12月31日，</w:t>
      </w:r>
      <w:r>
        <w:rPr>
          <w:rFonts w:hint="eastAsia" w:ascii="仿宋" w:hAnsi="仿宋" w:eastAsia="仿宋" w:cs="仿宋"/>
          <w:sz w:val="32"/>
          <w:szCs w:val="32"/>
        </w:rPr>
        <w:t>中标方对外招商的经营期限须限制在该期限内，重大招商项目需要突破阶段性经营期限的，需与招募方协商一致。</w:t>
      </w:r>
    </w:p>
    <w:p>
      <w:pPr>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rPr>
        <w:t>（三）经营管理模式</w:t>
      </w:r>
    </w:p>
    <w:p>
      <w:pPr>
        <w:keepNext w:val="0"/>
        <w:keepLines w:val="0"/>
        <w:pageBreakBefore w:val="0"/>
        <w:kinsoku/>
        <w:wordWrap/>
        <w:overflowPunct/>
        <w:topLinePunct w:val="0"/>
        <w:autoSpaceDE/>
        <w:autoSpaceDN/>
        <w:bidi w:val="0"/>
        <w:adjustRightInd/>
        <w:snapToGrid/>
        <w:spacing w:line="560" w:lineRule="exact"/>
        <w:ind w:firstLine="560"/>
        <w:jc w:val="left"/>
        <w:textAlignment w:val="auto"/>
        <w:rPr>
          <w:rFonts w:hint="eastAsia" w:ascii="仿宋" w:hAnsi="仿宋" w:eastAsia="仿宋" w:cs="仿宋"/>
          <w:sz w:val="32"/>
          <w:szCs w:val="32"/>
        </w:rPr>
      </w:pPr>
      <w:r>
        <w:rPr>
          <w:rFonts w:hint="eastAsia" w:ascii="仿宋" w:hAnsi="仿宋" w:eastAsia="仿宋" w:cs="仿宋"/>
          <w:sz w:val="32"/>
          <w:szCs w:val="32"/>
        </w:rPr>
        <w:t>阶段性经营期限内，招募方与中标方采取整体包租模式进行合作，由中标方独立开展商业策划、招商运营、商户管理、物业管理、</w:t>
      </w:r>
      <w:r>
        <w:rPr>
          <w:rFonts w:hint="eastAsia" w:ascii="仿宋" w:hAnsi="仿宋" w:eastAsia="仿宋" w:cs="仿宋"/>
          <w:sz w:val="32"/>
          <w:szCs w:val="32"/>
          <w:lang w:val="en-US" w:eastAsia="zh-CN"/>
        </w:rPr>
        <w:t>租赁关系优化、改造更新、</w:t>
      </w:r>
      <w:r>
        <w:rPr>
          <w:rFonts w:hint="eastAsia" w:ascii="仿宋" w:hAnsi="仿宋" w:eastAsia="仿宋" w:cs="仿宋"/>
          <w:sz w:val="32"/>
          <w:szCs w:val="32"/>
        </w:rPr>
        <w:t>安全生产管理等工作，收取标的资产经营管理过程中的租金、车位、物业、能耗等收入，承担运营管理过程中的各项费用和成本，并独立承担因上述工作产生的风险和后果。招募方负责依约收取中标方相应的租金收益，给予中标方必要的配合，并承担招募方应承担的法律责任。</w:t>
      </w:r>
    </w:p>
    <w:p>
      <w:pPr>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rPr>
        <w:t>（四）商管服务商的职责内容</w:t>
      </w:r>
    </w:p>
    <w:p>
      <w:pPr>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rPr>
        <w:t>1.开展现有租赁合同的续签、</w:t>
      </w:r>
      <w:r>
        <w:rPr>
          <w:rFonts w:hint="eastAsia" w:ascii="仿宋" w:hAnsi="仿宋" w:eastAsia="仿宋" w:cs="仿宋"/>
          <w:sz w:val="32"/>
          <w:szCs w:val="32"/>
          <w:lang w:val="en-US" w:eastAsia="zh-CN"/>
        </w:rPr>
        <w:t>违约租户</w:t>
      </w:r>
      <w:r>
        <w:rPr>
          <w:rFonts w:hint="eastAsia" w:ascii="仿宋" w:hAnsi="仿宋" w:eastAsia="仿宋" w:cs="仿宋"/>
          <w:sz w:val="32"/>
          <w:szCs w:val="32"/>
        </w:rPr>
        <w:t>腾退以及由此产生的纠纷处理等，包括诉讼事项，并承担相应的成本费用，同时承担因续签和腾退产生的风险和后果。</w:t>
      </w:r>
    </w:p>
    <w:p>
      <w:pPr>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rPr>
        <w:t>2</w:t>
      </w:r>
      <w:bookmarkStart w:id="0" w:name="OLE_LINK2"/>
      <w:bookmarkStart w:id="1" w:name="OLE_LINK1"/>
      <w:r>
        <w:rPr>
          <w:rFonts w:hint="eastAsia" w:ascii="仿宋" w:hAnsi="仿宋" w:eastAsia="仿宋" w:cs="仿宋"/>
          <w:sz w:val="32"/>
          <w:szCs w:val="32"/>
        </w:rPr>
        <w:t>.基于大楼设施设备和管理现状，开展包括但不限于消防系统、供电系统、暖通系统、中央空调系统（供冷）、锅炉系统、安防系统、楼宇自控系统、地下车库机械车库及道闸系统、电梯系统（含轿厢空调）、排风排烟系统、UPS、燃气供给及监测系统、供水系统、排水排污系统、玻璃幕墙等设施设备和大楼主体结构在内的安全改造工作，</w:t>
      </w:r>
      <w:bookmarkEnd w:id="0"/>
      <w:bookmarkEnd w:id="1"/>
      <w:r>
        <w:rPr>
          <w:rFonts w:hint="eastAsia" w:ascii="仿宋" w:hAnsi="仿宋" w:eastAsia="仿宋" w:cs="仿宋"/>
          <w:sz w:val="32"/>
          <w:szCs w:val="32"/>
        </w:rPr>
        <w:t>确保达到使用标准，部分设施设备需要城管、消防、安检等监管机构年检、验收的，须通过上述监管部门审核要求，并维保到位，切实履行日常安全生产管理职责。改造的费用由中标方承担。招募方后续将对中标方改造支出费用进行审查监督，参与上述系统的验收，并对上述设备设施的维保台账定期检查。改造投入形成的资产最终归属于招募方，经营期限内由经营方使用和维护。改造项目及初步预算详见附件3，其中涉及的问题和改造预算仅供投标方参考，不作为招募方的承诺事项。</w:t>
      </w:r>
    </w:p>
    <w:p>
      <w:pPr>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highlight w:val="yellow"/>
        </w:rPr>
        <w:t>特别说明：若中标方正式进场前，招募方已完成部分改造项目招标的，原则上中标方需承继招募方确定的招标结果，除非与改造项目中标方协商一致。</w:t>
      </w:r>
    </w:p>
    <w:p>
      <w:pPr>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rPr>
        <w:t>3.建立健全大楼安全管理工作制度和台账，制定各项应急预案，严格落实安全隐患排查机制，确保各项安全台账和制度的完备，有效提升安全管理的软硬件措施。</w:t>
      </w:r>
    </w:p>
    <w:p>
      <w:pPr>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rPr>
        <w:t>4.全面负责标的资产的商业运营管理和物业管理工作，有效提升大楼经营质效和物业管理形象，独立承担商业经营管理、物业管理、安全生产管理等工作，负责处理由日常经营管理活动产生的纠纷等事项。</w:t>
      </w:r>
    </w:p>
    <w:p>
      <w:pPr>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highlight w:val="yellow"/>
        </w:rPr>
        <w:t>特别说明：招募方已与南都物业服务集团股份有限公司签署了为期一年的物业服务合同，服务期限至2023年3月15日，原则上中标方需承继该物业服务合同。</w:t>
      </w:r>
    </w:p>
    <w:p>
      <w:pPr>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rPr>
        <w:t>5.积极导入和引进与大楼定位相匹配的产业，提升标的资产长期经营现金流，提升大楼市场价值。</w:t>
      </w:r>
    </w:p>
    <w:p>
      <w:pPr>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rPr>
        <w:t>6.其他按照本方案概述，以及商业管理的行业惯例和投标方的行业经验，属于整体经营范围内的工作。</w:t>
      </w:r>
    </w:p>
    <w:p>
      <w:pPr>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rPr>
        <w:t>投标方需就上述工作职能，向招募方提报工作思路、运营方案、改造方案等内容，供招募方评审。</w:t>
      </w:r>
    </w:p>
    <w:p>
      <w:pPr>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rPr>
        <w:t>在合作期内，在租户续签、腾退等事项上，招募方可以给予必要的配合。</w:t>
      </w:r>
    </w:p>
    <w:p>
      <w:pPr>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rPr>
        <w:t>特别说明：若中标方正式进场前，招募方已完成部分改造项目招标的，</w:t>
      </w:r>
    </w:p>
    <w:p>
      <w:pPr>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rPr>
        <w:t>（五）商务条件</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1.给予招募方的收益水平</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在阶段性营期限内，按年提出给予招募方的收益，以高为优。招募方根据经营期限内给予招募方的收益总额计量评分。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2.免租期时间</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根据投标方按上述第（四）条约定投入改造的费用，给予中标方一定的免租期，投标方案须列明免租期，免租期以短为优。具体免租期的期限、享受条件等以整体租赁合同相关的约定为准。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3.设施设备改造方案和投入预算</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投标方拟就上述第（四）条改造项目的改造方案和投入预算金额，上述事项的改造以有效提升招募标的安全生产管理水平和运营能力为整体目标，由招募方结合改造方案可行性、预算偏离度、免租期因素综合评定。</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4.特殊政策适用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若中标方在经营过程中，遇政府要求对经营户统一适用租金减免政策的，减免政策适用到实际经营户，并按照实际减免金额相应等额扣减中标方应给予招募方当年度的租金收益。</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5.履约保证金</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投标方被确定为中标方的，需向招募方缴纳不低于给予招募方免租期后首年租金收益总额5%的履约保证金。</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投标方需对上述商务条件提出明确的报价和方案，供招募方综合评定。</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yellow"/>
        </w:rPr>
      </w:pPr>
      <w:r>
        <w:rPr>
          <w:rFonts w:hint="eastAsia" w:ascii="仿宋" w:hAnsi="仿宋" w:eastAsia="仿宋" w:cs="仿宋"/>
          <w:sz w:val="32"/>
          <w:szCs w:val="32"/>
          <w:highlight w:val="yellow"/>
        </w:rPr>
        <w:t>四、资产处置事项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yellow"/>
        </w:rPr>
      </w:pPr>
      <w:r>
        <w:rPr>
          <w:rFonts w:hint="eastAsia" w:ascii="仿宋" w:hAnsi="仿宋" w:eastAsia="仿宋" w:cs="仿宋"/>
          <w:sz w:val="32"/>
          <w:szCs w:val="32"/>
          <w:highlight w:val="yellow"/>
        </w:rPr>
        <w:t xml:space="preserve">在阶段性经营期内，若招募方决策确定对标的资产或SPV公司股权进行处置并处置成功的，视中标方在处置过程中的贡献情况，给予中标方处置收益提成，处置方式、提成比例和支付方式等内容，由招募方另行决策确定。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highlight w:val="yellow"/>
        </w:rPr>
        <w:t>处置退出时，招募方与中标方签署的整体包租协议，视标的资产收购方的需求确定是否终止或由收购方承继，若终止协议的，视同租赁协议提前终止并触发改造投入权属调整、中标方投入和租金收益清算等事项。</w:t>
      </w:r>
    </w:p>
    <w:p>
      <w:pPr>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rPr>
        <w:t>五、过渡期后经营思路</w:t>
      </w:r>
    </w:p>
    <w:p>
      <w:pPr>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rPr>
        <w:t>在阶段性经营期内，若经营方提出提前终止整体租赁协议的，经招募方审批同意，可以提前终止整体租赁协议。同时，招募方将视整体清退进度，给予经营方一定的奖励政策。具体奖励政策双方另行协商确定。</w:t>
      </w:r>
    </w:p>
    <w:p>
      <w:pPr>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rPr>
        <w:t>阶段性经营期届满后，招募方将根据大楼的整体业态布局和市场需求，重新制定商管服务商招募方案并另行招募，原经营方有优先续约权。</w:t>
      </w:r>
    </w:p>
    <w:p>
      <w:pPr>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rPr>
        <w:t>六、招募实施流程</w:t>
      </w:r>
    </w:p>
    <w:p>
      <w:pPr>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rPr>
        <w:t>招募方此次招募工作按照“发布招募公告-报名-资格审查-投标-评标-签约”的整体流程进行，具体安排以招募公告为准。</w:t>
      </w:r>
    </w:p>
    <w:p>
      <w:pPr>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32"/>
          <w:szCs w:val="32"/>
          <w:highlight w:val="yellow"/>
        </w:rPr>
      </w:pPr>
      <w:r>
        <w:rPr>
          <w:rFonts w:hint="eastAsia" w:ascii="仿宋" w:hAnsi="仿宋" w:eastAsia="仿宋" w:cs="仿宋"/>
          <w:sz w:val="32"/>
          <w:szCs w:val="32"/>
          <w:highlight w:val="yellow"/>
        </w:rPr>
        <w:t>七、特别说明事项</w:t>
      </w:r>
    </w:p>
    <w:p>
      <w:pPr>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32"/>
          <w:szCs w:val="32"/>
          <w:highlight w:val="yellow"/>
        </w:rPr>
      </w:pPr>
      <w:r>
        <w:rPr>
          <w:rFonts w:hint="eastAsia" w:ascii="仿宋" w:hAnsi="仿宋" w:eastAsia="仿宋" w:cs="仿宋"/>
          <w:sz w:val="32"/>
          <w:szCs w:val="32"/>
          <w:highlight w:val="yellow"/>
        </w:rPr>
        <w:t>1.招募工作第一阶段为报名工作，由有意向的市场主体提交报名资料，经招募方审核资质后确定入围主体。在报名阶段，招募方原则上不对项目情况做出具体解释。</w:t>
      </w:r>
    </w:p>
    <w:p>
      <w:pPr>
        <w:keepNext w:val="0"/>
        <w:keepLines w:val="0"/>
        <w:pageBreakBefore w:val="0"/>
        <w:kinsoku/>
        <w:wordWrap/>
        <w:overflowPunct/>
        <w:topLinePunct w:val="0"/>
        <w:autoSpaceDE/>
        <w:autoSpaceDN/>
        <w:bidi w:val="0"/>
        <w:adjustRightInd/>
        <w:snapToGrid/>
        <w:spacing w:line="560" w:lineRule="exact"/>
        <w:ind w:firstLine="560"/>
        <w:textAlignment w:val="auto"/>
        <w:rPr>
          <w:rFonts w:hint="eastAsia" w:ascii="仿宋" w:hAnsi="仿宋" w:eastAsia="仿宋" w:cs="仿宋"/>
          <w:sz w:val="32"/>
          <w:szCs w:val="32"/>
        </w:rPr>
      </w:pPr>
      <w:r>
        <w:rPr>
          <w:rFonts w:hint="eastAsia" w:ascii="仿宋" w:hAnsi="仿宋" w:eastAsia="仿宋" w:cs="仿宋"/>
          <w:sz w:val="32"/>
          <w:szCs w:val="32"/>
          <w:highlight w:val="yellow"/>
        </w:rPr>
        <w:t>2.未经招募方允许并统一组织，投标方不得自行开展现场设施设备勘察和租户对接工作，否则，由此引起的社会问题和法律风险由投标方自行承担。</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yN2M3NDc4YjllNjc4ZGVhYjVjYTFjYTNkNzk0MjIifQ=="/>
  </w:docVars>
  <w:rsids>
    <w:rsidRoot w:val="00B67FB1"/>
    <w:rsid w:val="00026EAC"/>
    <w:rsid w:val="00054804"/>
    <w:rsid w:val="00076AE9"/>
    <w:rsid w:val="000A2149"/>
    <w:rsid w:val="000F5BFE"/>
    <w:rsid w:val="0010200D"/>
    <w:rsid w:val="0011001D"/>
    <w:rsid w:val="00130D3C"/>
    <w:rsid w:val="00157CA7"/>
    <w:rsid w:val="00167C6C"/>
    <w:rsid w:val="001706AC"/>
    <w:rsid w:val="001723B6"/>
    <w:rsid w:val="00192BE8"/>
    <w:rsid w:val="0019764F"/>
    <w:rsid w:val="001A2485"/>
    <w:rsid w:val="001A4765"/>
    <w:rsid w:val="001A4B82"/>
    <w:rsid w:val="001A6698"/>
    <w:rsid w:val="001D5DAC"/>
    <w:rsid w:val="001E0E41"/>
    <w:rsid w:val="0025485D"/>
    <w:rsid w:val="002A2252"/>
    <w:rsid w:val="002A5D28"/>
    <w:rsid w:val="002C306B"/>
    <w:rsid w:val="002E346C"/>
    <w:rsid w:val="002F2A2F"/>
    <w:rsid w:val="00321DD7"/>
    <w:rsid w:val="0036784D"/>
    <w:rsid w:val="0038171B"/>
    <w:rsid w:val="00382D81"/>
    <w:rsid w:val="00384513"/>
    <w:rsid w:val="003D0B96"/>
    <w:rsid w:val="003E3A54"/>
    <w:rsid w:val="00403F1D"/>
    <w:rsid w:val="004816D8"/>
    <w:rsid w:val="004A7980"/>
    <w:rsid w:val="004E2910"/>
    <w:rsid w:val="00505CFD"/>
    <w:rsid w:val="00544F5E"/>
    <w:rsid w:val="00552B2B"/>
    <w:rsid w:val="00592B9D"/>
    <w:rsid w:val="005958D9"/>
    <w:rsid w:val="005A0828"/>
    <w:rsid w:val="005D3593"/>
    <w:rsid w:val="005E4435"/>
    <w:rsid w:val="00605AF3"/>
    <w:rsid w:val="00617408"/>
    <w:rsid w:val="00623662"/>
    <w:rsid w:val="00625019"/>
    <w:rsid w:val="00651AE7"/>
    <w:rsid w:val="00654479"/>
    <w:rsid w:val="00663FA2"/>
    <w:rsid w:val="0066522A"/>
    <w:rsid w:val="006824E8"/>
    <w:rsid w:val="006B01B7"/>
    <w:rsid w:val="006E165E"/>
    <w:rsid w:val="00716884"/>
    <w:rsid w:val="0071794F"/>
    <w:rsid w:val="00775859"/>
    <w:rsid w:val="007831CD"/>
    <w:rsid w:val="00786F02"/>
    <w:rsid w:val="007B57DA"/>
    <w:rsid w:val="007D5502"/>
    <w:rsid w:val="00825980"/>
    <w:rsid w:val="00837C7C"/>
    <w:rsid w:val="00863737"/>
    <w:rsid w:val="008A64ED"/>
    <w:rsid w:val="008C04F7"/>
    <w:rsid w:val="008D2503"/>
    <w:rsid w:val="008F566D"/>
    <w:rsid w:val="00980248"/>
    <w:rsid w:val="009F1A42"/>
    <w:rsid w:val="00A05F5B"/>
    <w:rsid w:val="00A26949"/>
    <w:rsid w:val="00A667C2"/>
    <w:rsid w:val="00A82937"/>
    <w:rsid w:val="00A876E3"/>
    <w:rsid w:val="00AC1033"/>
    <w:rsid w:val="00AE1008"/>
    <w:rsid w:val="00B00380"/>
    <w:rsid w:val="00B02BC9"/>
    <w:rsid w:val="00B5062A"/>
    <w:rsid w:val="00B60081"/>
    <w:rsid w:val="00B6382A"/>
    <w:rsid w:val="00B67FB1"/>
    <w:rsid w:val="00B97D2E"/>
    <w:rsid w:val="00BF30D6"/>
    <w:rsid w:val="00C029BE"/>
    <w:rsid w:val="00C420EB"/>
    <w:rsid w:val="00C50073"/>
    <w:rsid w:val="00C546F0"/>
    <w:rsid w:val="00C55B0E"/>
    <w:rsid w:val="00CD771E"/>
    <w:rsid w:val="00CE37D6"/>
    <w:rsid w:val="00CE66A2"/>
    <w:rsid w:val="00CF3BE6"/>
    <w:rsid w:val="00D4264F"/>
    <w:rsid w:val="00D51349"/>
    <w:rsid w:val="00D5171A"/>
    <w:rsid w:val="00D563FF"/>
    <w:rsid w:val="00D6685C"/>
    <w:rsid w:val="00D74571"/>
    <w:rsid w:val="00DA3CE4"/>
    <w:rsid w:val="00DB565F"/>
    <w:rsid w:val="00DB699B"/>
    <w:rsid w:val="00DC1986"/>
    <w:rsid w:val="00DC7E32"/>
    <w:rsid w:val="00DE4988"/>
    <w:rsid w:val="00DF43FF"/>
    <w:rsid w:val="00E471AB"/>
    <w:rsid w:val="00EB53B2"/>
    <w:rsid w:val="00EE4AD2"/>
    <w:rsid w:val="00EF257D"/>
    <w:rsid w:val="00F052B9"/>
    <w:rsid w:val="00F170EA"/>
    <w:rsid w:val="00F35046"/>
    <w:rsid w:val="00F5063D"/>
    <w:rsid w:val="00F623C8"/>
    <w:rsid w:val="00F80B15"/>
    <w:rsid w:val="00F94724"/>
    <w:rsid w:val="00FA0239"/>
    <w:rsid w:val="00FC5515"/>
    <w:rsid w:val="00FC7FEF"/>
    <w:rsid w:val="00FF116A"/>
    <w:rsid w:val="268367F9"/>
    <w:rsid w:val="30B22C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3"/>
    <w:unhideWhenUsed/>
    <w:qFormat/>
    <w:uiPriority w:val="99"/>
    <w:pPr>
      <w:jc w:val="left"/>
    </w:pPr>
  </w:style>
  <w:style w:type="paragraph" w:styleId="4">
    <w:name w:val="Balloon Text"/>
    <w:basedOn w:val="1"/>
    <w:link w:val="15"/>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4"/>
    <w:semiHidden/>
    <w:unhideWhenUsed/>
    <w:qFormat/>
    <w:uiPriority w:val="99"/>
    <w:rPr>
      <w:b/>
      <w:bCs/>
    </w:rPr>
  </w:style>
  <w:style w:type="character" w:styleId="10">
    <w:name w:val="Strong"/>
    <w:basedOn w:val="9"/>
    <w:qFormat/>
    <w:uiPriority w:val="22"/>
    <w:rPr>
      <w:b/>
      <w:bCs/>
    </w:rPr>
  </w:style>
  <w:style w:type="character" w:styleId="11">
    <w:name w:val="annotation reference"/>
    <w:basedOn w:val="9"/>
    <w:semiHidden/>
    <w:unhideWhenUsed/>
    <w:qFormat/>
    <w:uiPriority w:val="99"/>
    <w:rPr>
      <w:sz w:val="21"/>
      <w:szCs w:val="21"/>
    </w:rPr>
  </w:style>
  <w:style w:type="paragraph" w:customStyle="1" w:styleId="12">
    <w:name w:val="正常"/>
    <w:qFormat/>
    <w:uiPriority w:val="0"/>
    <w:pPr>
      <w:widowControl w:val="0"/>
      <w:adjustRightInd w:val="0"/>
      <w:spacing w:afterLines="50" w:line="400" w:lineRule="exact"/>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3">
    <w:name w:val="批注文字 字符"/>
    <w:basedOn w:val="9"/>
    <w:link w:val="3"/>
    <w:qFormat/>
    <w:uiPriority w:val="99"/>
  </w:style>
  <w:style w:type="character" w:customStyle="1" w:styleId="14">
    <w:name w:val="批注主题 字符"/>
    <w:basedOn w:val="13"/>
    <w:link w:val="7"/>
    <w:semiHidden/>
    <w:uiPriority w:val="99"/>
    <w:rPr>
      <w:b/>
      <w:bCs/>
    </w:rPr>
  </w:style>
  <w:style w:type="character" w:customStyle="1" w:styleId="15">
    <w:name w:val="批注框文本 字符"/>
    <w:basedOn w:val="9"/>
    <w:link w:val="4"/>
    <w:semiHidden/>
    <w:qFormat/>
    <w:uiPriority w:val="99"/>
    <w:rPr>
      <w:sz w:val="18"/>
      <w:szCs w:val="18"/>
    </w:rPr>
  </w:style>
  <w:style w:type="character" w:customStyle="1" w:styleId="16">
    <w:name w:val="页眉 字符"/>
    <w:basedOn w:val="9"/>
    <w:link w:val="6"/>
    <w:qFormat/>
    <w:uiPriority w:val="99"/>
    <w:rPr>
      <w:sz w:val="18"/>
      <w:szCs w:val="18"/>
    </w:rPr>
  </w:style>
  <w:style w:type="character" w:customStyle="1" w:styleId="17">
    <w:name w:val="页脚 字符"/>
    <w:basedOn w:val="9"/>
    <w:link w:val="5"/>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F0B4A-7D0E-4DE1-9326-DDCE90B2D26C}">
  <ds:schemaRefs/>
</ds:datastoreItem>
</file>

<file path=docProps/app.xml><?xml version="1.0" encoding="utf-8"?>
<Properties xmlns="http://schemas.openxmlformats.org/officeDocument/2006/extended-properties" xmlns:vt="http://schemas.openxmlformats.org/officeDocument/2006/docPropsVTypes">
  <Template>Normal</Template>
  <Pages>9</Pages>
  <Words>4024</Words>
  <Characters>4128</Characters>
  <Lines>29</Lines>
  <Paragraphs>8</Paragraphs>
  <TotalTime>4</TotalTime>
  <ScaleCrop>false</ScaleCrop>
  <LinksUpToDate>false</LinksUpToDate>
  <CharactersWithSpaces>4133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2022-06-07T07:41:00Z</dcterms:created>
  <dc:creator>修平</dc:creator>
  <cp:lastModifiedBy>享</cp:lastModifiedBy>
  <dcterms:modified xsi:type="dcterms:W3CDTF">2022-06-24T10:38:27Z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19B13B9D52374DF399E94B7E044593D5</vt:lpwstr>
  </property>
</Properties>
</file>